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1B" w:rsidRPr="006A371B" w:rsidRDefault="006A371B" w:rsidP="006A371B">
      <w:pPr>
        <w:jc w:val="center"/>
        <w:rPr>
          <w:b/>
          <w:sz w:val="26"/>
          <w:szCs w:val="24"/>
        </w:rPr>
      </w:pPr>
      <w:proofErr w:type="gramStart"/>
      <w:r w:rsidRPr="006A371B">
        <w:rPr>
          <w:b/>
          <w:sz w:val="26"/>
          <w:szCs w:val="24"/>
        </w:rPr>
        <w:t>e-Governance</w:t>
      </w:r>
      <w:proofErr w:type="gramEnd"/>
      <w:r w:rsidRPr="006A371B">
        <w:rPr>
          <w:b/>
          <w:sz w:val="26"/>
          <w:szCs w:val="24"/>
        </w:rPr>
        <w:t xml:space="preserve"> Strategies and Best Practices in India</w:t>
      </w:r>
    </w:p>
    <w:p w:rsidR="006A371B" w:rsidRDefault="006A371B" w:rsidP="006A371B">
      <w:pPr>
        <w:pStyle w:val="Default"/>
        <w:jc w:val="center"/>
        <w:rPr>
          <w:rFonts w:asciiTheme="minorHAnsi" w:hAnsiTheme="minorHAnsi"/>
          <w:b/>
          <w:color w:val="auto"/>
          <w:sz w:val="26"/>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6095"/>
      </w:tblGrid>
      <w:tr w:rsidR="006A371B" w:rsidRPr="006A371B" w:rsidTr="006A371B">
        <w:trPr>
          <w:trHeight w:val="109"/>
        </w:trPr>
        <w:tc>
          <w:tcPr>
            <w:tcW w:w="3222" w:type="dxa"/>
          </w:tcPr>
          <w:p w:rsidR="006A371B" w:rsidRPr="006A371B" w:rsidRDefault="006A371B">
            <w:pPr>
              <w:pStyle w:val="Default"/>
              <w:rPr>
                <w:rFonts w:asciiTheme="minorHAnsi" w:hAnsiTheme="minorHAnsi"/>
                <w:sz w:val="26"/>
                <w:szCs w:val="26"/>
              </w:rPr>
            </w:pPr>
            <w:r w:rsidRPr="006A371B">
              <w:rPr>
                <w:rFonts w:asciiTheme="minorHAnsi" w:hAnsiTheme="minorHAnsi"/>
                <w:b/>
                <w:bCs/>
                <w:color w:val="auto"/>
                <w:sz w:val="26"/>
                <w:szCs w:val="26"/>
              </w:rPr>
              <w:t xml:space="preserve">e-Governance strategies and Best Practices in India </w:t>
            </w:r>
            <w:r w:rsidRPr="006A371B">
              <w:rPr>
                <w:rFonts w:asciiTheme="minorHAnsi" w:hAnsiTheme="minorHAnsi"/>
                <w:sz w:val="26"/>
                <w:szCs w:val="26"/>
              </w:rPr>
              <w:t xml:space="preserve">Course Title </w:t>
            </w:r>
          </w:p>
        </w:tc>
        <w:tc>
          <w:tcPr>
            <w:tcW w:w="6095" w:type="dxa"/>
          </w:tcPr>
          <w:p w:rsidR="006A371B" w:rsidRPr="006A371B" w:rsidRDefault="006A371B">
            <w:pPr>
              <w:pStyle w:val="Default"/>
              <w:rPr>
                <w:rFonts w:asciiTheme="minorHAnsi" w:hAnsiTheme="minorHAnsi"/>
                <w:sz w:val="26"/>
                <w:szCs w:val="26"/>
              </w:rPr>
            </w:pPr>
            <w:r w:rsidRPr="006A371B">
              <w:rPr>
                <w:rFonts w:asciiTheme="minorHAnsi" w:hAnsiTheme="minorHAnsi"/>
                <w:sz w:val="26"/>
                <w:szCs w:val="26"/>
              </w:rPr>
              <w:t xml:space="preserve">e-Governance Strategies and Best Practices in India </w:t>
            </w:r>
          </w:p>
        </w:tc>
      </w:tr>
      <w:tr w:rsidR="006A371B" w:rsidRPr="006A371B" w:rsidTr="006A371B">
        <w:trPr>
          <w:trHeight w:val="983"/>
        </w:trPr>
        <w:tc>
          <w:tcPr>
            <w:tcW w:w="3222" w:type="dxa"/>
          </w:tcPr>
          <w:p w:rsidR="006A371B" w:rsidRPr="006A371B" w:rsidRDefault="006A371B">
            <w:pPr>
              <w:pStyle w:val="Default"/>
              <w:rPr>
                <w:rFonts w:asciiTheme="minorHAnsi" w:hAnsiTheme="minorHAnsi"/>
                <w:sz w:val="26"/>
                <w:szCs w:val="26"/>
              </w:rPr>
            </w:pPr>
            <w:r w:rsidRPr="006A371B">
              <w:rPr>
                <w:rFonts w:asciiTheme="minorHAnsi" w:hAnsiTheme="minorHAnsi"/>
                <w:sz w:val="26"/>
                <w:szCs w:val="26"/>
              </w:rPr>
              <w:t xml:space="preserve">Need </w:t>
            </w:r>
          </w:p>
        </w:tc>
        <w:tc>
          <w:tcPr>
            <w:tcW w:w="6095" w:type="dxa"/>
          </w:tcPr>
          <w:p w:rsidR="006A371B" w:rsidRDefault="006A371B" w:rsidP="006A371B">
            <w:pPr>
              <w:pStyle w:val="Default"/>
              <w:jc w:val="both"/>
              <w:rPr>
                <w:rFonts w:asciiTheme="minorHAnsi" w:hAnsiTheme="minorHAnsi"/>
                <w:sz w:val="26"/>
                <w:szCs w:val="26"/>
              </w:rPr>
            </w:pPr>
            <w:r w:rsidRPr="006A371B">
              <w:rPr>
                <w:rFonts w:asciiTheme="minorHAnsi" w:hAnsiTheme="minorHAnsi"/>
                <w:sz w:val="26"/>
                <w:szCs w:val="26"/>
              </w:rPr>
              <w:t xml:space="preserve">E-governance is the application of Information Technology to the processes of government functioning to bring SMART. It leads to a transformation in work processes and service delivery, lowers transaction cost with improvement in transparency and accountability. E-governance can help reduce corruption and improve accountability by making budgets and progress reports of major public projects available. Citizen can take benefits of E-governance project for getting effective information effectively and very easily. Information chain can be very much effective using E-governance project. The Government of India is embarking on e-Governance with new ‘Digital India’ programme for electronic delivery of services uniformly throughout the country and it is going to play a pivotal role in delivering information and services to the poor and underserved citizens living in the rural areas of the country. E-governance can transform citizen service, provide access to information to empower citizens, enable their participation in government and enhance citizen economic and social opportunities, so that they can make better lives for themselves and also for the next generation. Information, Communication and Technologies (ICTs) plays a key role in development and economic growth of Rural India. </w:t>
            </w:r>
          </w:p>
          <w:p w:rsidR="00727CAC" w:rsidRPr="006A371B" w:rsidRDefault="00727CAC" w:rsidP="006A371B">
            <w:pPr>
              <w:pStyle w:val="Default"/>
              <w:jc w:val="both"/>
              <w:rPr>
                <w:rFonts w:asciiTheme="minorHAnsi" w:hAnsiTheme="minorHAnsi"/>
                <w:sz w:val="26"/>
                <w:szCs w:val="26"/>
              </w:rPr>
            </w:pPr>
          </w:p>
          <w:p w:rsidR="006A371B" w:rsidRDefault="006A371B" w:rsidP="006A371B">
            <w:pPr>
              <w:pStyle w:val="Default"/>
              <w:jc w:val="both"/>
              <w:rPr>
                <w:rFonts w:asciiTheme="minorHAnsi" w:hAnsiTheme="minorHAnsi"/>
                <w:sz w:val="26"/>
                <w:szCs w:val="26"/>
              </w:rPr>
            </w:pPr>
            <w:r w:rsidRPr="006A371B">
              <w:rPr>
                <w:rFonts w:asciiTheme="minorHAnsi" w:hAnsiTheme="minorHAnsi"/>
                <w:sz w:val="26"/>
                <w:szCs w:val="26"/>
              </w:rPr>
              <w:t xml:space="preserve">Government of India is having an ambitious objective of transforming the citizen-government interaction at all levels by electronic mode (e-Governance) by 2020. A successful ICT application in e-Governance giving one-stop solution for rural community is the need of the hour. E-governance applications have demonstrated their positive impact in minimizing the processing cost, increase transparency and support economic development by income generating ventures, increase in agricultural production and improvements in health and educations sectors and thus promotes the overall quality life of rural people. By considering the </w:t>
            </w:r>
            <w:r w:rsidRPr="006A371B">
              <w:rPr>
                <w:rFonts w:asciiTheme="minorHAnsi" w:hAnsiTheme="minorHAnsi"/>
                <w:sz w:val="26"/>
                <w:szCs w:val="26"/>
              </w:rPr>
              <w:lastRenderedPageBreak/>
              <w:t xml:space="preserve">requirements and demands this course on “e-Governance Strategies and Best Practices in India” is proposed mainly to the development functionaries. </w:t>
            </w:r>
          </w:p>
          <w:p w:rsidR="00727CAC" w:rsidRPr="006A371B" w:rsidRDefault="00727CAC" w:rsidP="006A371B">
            <w:pPr>
              <w:pStyle w:val="Default"/>
              <w:jc w:val="both"/>
              <w:rPr>
                <w:rFonts w:asciiTheme="minorHAnsi" w:hAnsiTheme="minorHAnsi"/>
                <w:sz w:val="26"/>
                <w:szCs w:val="26"/>
              </w:rPr>
            </w:pPr>
          </w:p>
        </w:tc>
      </w:tr>
      <w:tr w:rsidR="006A371B" w:rsidRPr="006A371B" w:rsidTr="006A371B">
        <w:trPr>
          <w:trHeight w:val="383"/>
        </w:trPr>
        <w:tc>
          <w:tcPr>
            <w:tcW w:w="3222" w:type="dxa"/>
          </w:tcPr>
          <w:p w:rsidR="006A371B" w:rsidRPr="006A371B" w:rsidRDefault="006A371B">
            <w:pPr>
              <w:pStyle w:val="Default"/>
              <w:rPr>
                <w:rFonts w:asciiTheme="minorHAnsi" w:hAnsiTheme="minorHAnsi"/>
                <w:sz w:val="26"/>
                <w:szCs w:val="26"/>
              </w:rPr>
            </w:pPr>
            <w:r w:rsidRPr="006A371B">
              <w:rPr>
                <w:rFonts w:asciiTheme="minorHAnsi" w:hAnsiTheme="minorHAnsi"/>
                <w:sz w:val="26"/>
                <w:szCs w:val="26"/>
              </w:rPr>
              <w:lastRenderedPageBreak/>
              <w:t xml:space="preserve">Course Aim </w:t>
            </w:r>
          </w:p>
        </w:tc>
        <w:tc>
          <w:tcPr>
            <w:tcW w:w="6095" w:type="dxa"/>
          </w:tcPr>
          <w:p w:rsidR="006A371B" w:rsidRDefault="006A371B">
            <w:pPr>
              <w:pStyle w:val="Default"/>
              <w:rPr>
                <w:rFonts w:asciiTheme="minorHAnsi" w:hAnsiTheme="minorHAnsi"/>
                <w:sz w:val="26"/>
                <w:szCs w:val="26"/>
              </w:rPr>
            </w:pPr>
            <w:r w:rsidRPr="006A371B">
              <w:rPr>
                <w:rFonts w:asciiTheme="minorHAnsi" w:hAnsiTheme="minorHAnsi"/>
                <w:sz w:val="26"/>
                <w:szCs w:val="26"/>
              </w:rPr>
              <w:t xml:space="preserve">This programme aims at strengthening the knowledge of the participants with e- governance and the various development programmes and discuss the issues and best practices for the effective delivery to working mass. </w:t>
            </w:r>
          </w:p>
          <w:p w:rsidR="00727CAC" w:rsidRPr="006A371B" w:rsidRDefault="00727CAC">
            <w:pPr>
              <w:pStyle w:val="Default"/>
              <w:rPr>
                <w:rFonts w:asciiTheme="minorHAnsi" w:hAnsiTheme="minorHAnsi"/>
                <w:sz w:val="26"/>
                <w:szCs w:val="26"/>
              </w:rPr>
            </w:pPr>
          </w:p>
        </w:tc>
      </w:tr>
      <w:tr w:rsidR="006A371B" w:rsidRPr="006A371B" w:rsidTr="006A371B">
        <w:trPr>
          <w:trHeight w:val="568"/>
        </w:trPr>
        <w:tc>
          <w:tcPr>
            <w:tcW w:w="3222" w:type="dxa"/>
          </w:tcPr>
          <w:p w:rsidR="006A371B" w:rsidRPr="006A371B" w:rsidRDefault="006A371B">
            <w:pPr>
              <w:pStyle w:val="Default"/>
              <w:rPr>
                <w:rFonts w:asciiTheme="minorHAnsi" w:hAnsiTheme="minorHAnsi"/>
                <w:sz w:val="26"/>
                <w:szCs w:val="26"/>
              </w:rPr>
            </w:pPr>
            <w:r w:rsidRPr="006A371B">
              <w:rPr>
                <w:rFonts w:asciiTheme="minorHAnsi" w:hAnsiTheme="minorHAnsi"/>
                <w:sz w:val="26"/>
                <w:szCs w:val="26"/>
              </w:rPr>
              <w:t xml:space="preserve">Course Objective </w:t>
            </w:r>
          </w:p>
        </w:tc>
        <w:tc>
          <w:tcPr>
            <w:tcW w:w="6095" w:type="dxa"/>
          </w:tcPr>
          <w:p w:rsidR="006A371B" w:rsidRPr="006A371B" w:rsidRDefault="006A371B">
            <w:pPr>
              <w:pStyle w:val="Default"/>
              <w:rPr>
                <w:rFonts w:asciiTheme="minorHAnsi" w:hAnsiTheme="minorHAnsi"/>
                <w:color w:val="auto"/>
                <w:sz w:val="26"/>
                <w:szCs w:val="26"/>
              </w:rPr>
            </w:pPr>
          </w:p>
          <w:p w:rsidR="006A371B" w:rsidRPr="006A371B" w:rsidRDefault="006A371B">
            <w:pPr>
              <w:pStyle w:val="Default"/>
              <w:rPr>
                <w:rFonts w:asciiTheme="minorHAnsi" w:hAnsiTheme="minorHAnsi"/>
                <w:sz w:val="26"/>
                <w:szCs w:val="26"/>
              </w:rPr>
            </w:pPr>
            <w:r w:rsidRPr="006A371B">
              <w:rPr>
                <w:rFonts w:asciiTheme="minorHAnsi" w:hAnsiTheme="minorHAnsi" w:cs="Calibri"/>
                <w:sz w:val="26"/>
                <w:szCs w:val="26"/>
              </w:rPr>
              <w:t xml:space="preserve">• </w:t>
            </w:r>
            <w:r w:rsidRPr="006A371B">
              <w:rPr>
                <w:rFonts w:asciiTheme="minorHAnsi" w:hAnsiTheme="minorHAnsi"/>
                <w:sz w:val="26"/>
                <w:szCs w:val="26"/>
              </w:rPr>
              <w:t xml:space="preserve">To understand the concept, features and importance of e- governance </w:t>
            </w:r>
          </w:p>
          <w:p w:rsidR="006A371B" w:rsidRPr="006A371B" w:rsidRDefault="006A371B">
            <w:pPr>
              <w:pStyle w:val="Default"/>
              <w:rPr>
                <w:rFonts w:asciiTheme="minorHAnsi" w:hAnsiTheme="minorHAnsi" w:cs="Calibri"/>
                <w:sz w:val="26"/>
                <w:szCs w:val="26"/>
              </w:rPr>
            </w:pPr>
            <w:r w:rsidRPr="006A371B">
              <w:rPr>
                <w:rFonts w:asciiTheme="minorHAnsi" w:hAnsiTheme="minorHAnsi" w:cs="Calibri"/>
                <w:sz w:val="26"/>
                <w:szCs w:val="26"/>
              </w:rPr>
              <w:t xml:space="preserve">• To discuss the various development programmes in operation </w:t>
            </w:r>
          </w:p>
          <w:p w:rsidR="006A371B" w:rsidRPr="006A371B" w:rsidRDefault="006A371B">
            <w:pPr>
              <w:pStyle w:val="Default"/>
              <w:rPr>
                <w:rFonts w:asciiTheme="minorHAnsi" w:hAnsiTheme="minorHAnsi" w:cs="Calibri"/>
                <w:sz w:val="26"/>
                <w:szCs w:val="26"/>
              </w:rPr>
            </w:pPr>
            <w:r w:rsidRPr="006A371B">
              <w:rPr>
                <w:rFonts w:asciiTheme="minorHAnsi" w:hAnsiTheme="minorHAnsi" w:cs="Calibri"/>
                <w:sz w:val="26"/>
                <w:szCs w:val="26"/>
              </w:rPr>
              <w:t xml:space="preserve">• To discuss the issues arise in the effective implementations </w:t>
            </w:r>
          </w:p>
          <w:p w:rsidR="006A371B" w:rsidRPr="006A371B" w:rsidRDefault="006A371B">
            <w:pPr>
              <w:pStyle w:val="Default"/>
              <w:rPr>
                <w:rFonts w:asciiTheme="minorHAnsi" w:hAnsiTheme="minorHAnsi" w:cs="Calibri"/>
                <w:sz w:val="26"/>
                <w:szCs w:val="26"/>
              </w:rPr>
            </w:pPr>
            <w:r w:rsidRPr="006A371B">
              <w:rPr>
                <w:rFonts w:asciiTheme="minorHAnsi" w:hAnsiTheme="minorHAnsi" w:cs="Calibri"/>
                <w:sz w:val="26"/>
                <w:szCs w:val="26"/>
              </w:rPr>
              <w:t xml:space="preserve">• To find out ways and means of effective delivery mechanism </w:t>
            </w:r>
          </w:p>
          <w:p w:rsidR="006A371B" w:rsidRPr="006A371B" w:rsidRDefault="006A371B">
            <w:pPr>
              <w:pStyle w:val="Default"/>
              <w:rPr>
                <w:rFonts w:asciiTheme="minorHAnsi" w:hAnsiTheme="minorHAnsi" w:cs="Calibri"/>
                <w:sz w:val="26"/>
                <w:szCs w:val="26"/>
              </w:rPr>
            </w:pPr>
          </w:p>
        </w:tc>
      </w:tr>
      <w:tr w:rsidR="006A371B" w:rsidRPr="006A371B" w:rsidTr="006A371B">
        <w:trPr>
          <w:trHeight w:val="247"/>
        </w:trPr>
        <w:tc>
          <w:tcPr>
            <w:tcW w:w="3222" w:type="dxa"/>
          </w:tcPr>
          <w:p w:rsidR="006A371B" w:rsidRPr="006A371B" w:rsidRDefault="006A371B">
            <w:pPr>
              <w:pStyle w:val="Default"/>
              <w:rPr>
                <w:rFonts w:asciiTheme="minorHAnsi" w:hAnsiTheme="minorHAnsi"/>
                <w:sz w:val="26"/>
                <w:szCs w:val="26"/>
              </w:rPr>
            </w:pPr>
            <w:r w:rsidRPr="006A371B">
              <w:rPr>
                <w:rFonts w:asciiTheme="minorHAnsi" w:hAnsiTheme="minorHAnsi"/>
                <w:sz w:val="26"/>
                <w:szCs w:val="26"/>
              </w:rPr>
              <w:t xml:space="preserve">Methodology </w:t>
            </w:r>
          </w:p>
        </w:tc>
        <w:tc>
          <w:tcPr>
            <w:tcW w:w="6095" w:type="dxa"/>
          </w:tcPr>
          <w:p w:rsidR="006A371B" w:rsidRPr="006A371B" w:rsidRDefault="006A371B">
            <w:pPr>
              <w:pStyle w:val="Default"/>
              <w:rPr>
                <w:rFonts w:asciiTheme="minorHAnsi" w:hAnsiTheme="minorHAnsi"/>
                <w:sz w:val="26"/>
                <w:szCs w:val="26"/>
              </w:rPr>
            </w:pPr>
            <w:r w:rsidRPr="006A371B">
              <w:rPr>
                <w:rFonts w:asciiTheme="minorHAnsi" w:hAnsiTheme="minorHAnsi"/>
                <w:sz w:val="26"/>
                <w:szCs w:val="26"/>
              </w:rPr>
              <w:t xml:space="preserve">Live demonstrations </w:t>
            </w:r>
          </w:p>
          <w:p w:rsidR="006A371B" w:rsidRPr="006A371B" w:rsidRDefault="006A371B">
            <w:pPr>
              <w:pStyle w:val="Default"/>
              <w:rPr>
                <w:rFonts w:asciiTheme="minorHAnsi" w:hAnsiTheme="minorHAnsi"/>
                <w:sz w:val="26"/>
                <w:szCs w:val="26"/>
              </w:rPr>
            </w:pPr>
            <w:r w:rsidRPr="006A371B">
              <w:rPr>
                <w:rFonts w:asciiTheme="minorHAnsi" w:hAnsiTheme="minorHAnsi"/>
                <w:sz w:val="26"/>
                <w:szCs w:val="26"/>
              </w:rPr>
              <w:t xml:space="preserve">Lecture-cum-discussions </w:t>
            </w:r>
          </w:p>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Case Studies and Best Practices </w:t>
            </w:r>
          </w:p>
          <w:p w:rsidR="006A371B" w:rsidRPr="006A371B" w:rsidRDefault="006A371B">
            <w:pPr>
              <w:pStyle w:val="Default"/>
              <w:rPr>
                <w:rFonts w:asciiTheme="minorHAnsi" w:hAnsiTheme="minorHAnsi"/>
                <w:sz w:val="26"/>
                <w:szCs w:val="26"/>
              </w:rPr>
            </w:pPr>
          </w:p>
        </w:tc>
      </w:tr>
      <w:tr w:rsidR="006A371B" w:rsidRPr="006A371B" w:rsidTr="006A371B">
        <w:trPr>
          <w:trHeight w:val="247"/>
        </w:trPr>
        <w:tc>
          <w:tcPr>
            <w:tcW w:w="3222"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Course Content </w:t>
            </w:r>
          </w:p>
          <w:p w:rsidR="006A371B" w:rsidRPr="006A371B" w:rsidRDefault="006A371B">
            <w:pPr>
              <w:pStyle w:val="Default"/>
              <w:rPr>
                <w:rFonts w:asciiTheme="minorHAnsi" w:hAnsiTheme="minorHAnsi"/>
                <w:sz w:val="26"/>
                <w:szCs w:val="26"/>
              </w:rPr>
            </w:pPr>
          </w:p>
        </w:tc>
        <w:tc>
          <w:tcPr>
            <w:tcW w:w="6095"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e-Governance concepts and Models, Overview of National e-Governance Plan, Vision and Strategy, Government Process Re-engineering, Mobile Governance, Business Models, Legal and policy framework, Digital India Programme, Critical issues and Why e-Governance projects fail </w:t>
            </w:r>
          </w:p>
          <w:p w:rsidR="006A371B" w:rsidRPr="006A371B" w:rsidRDefault="006A371B">
            <w:pPr>
              <w:pStyle w:val="Default"/>
              <w:rPr>
                <w:rFonts w:asciiTheme="minorHAnsi" w:hAnsiTheme="minorHAnsi"/>
                <w:sz w:val="26"/>
                <w:szCs w:val="26"/>
              </w:rPr>
            </w:pPr>
          </w:p>
        </w:tc>
      </w:tr>
      <w:tr w:rsidR="006A371B" w:rsidRPr="006A371B" w:rsidTr="006A371B">
        <w:trPr>
          <w:trHeight w:val="247"/>
        </w:trPr>
        <w:tc>
          <w:tcPr>
            <w:tcW w:w="3222"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Duration </w:t>
            </w:r>
          </w:p>
          <w:p w:rsidR="006A371B" w:rsidRPr="006A371B" w:rsidRDefault="006A371B" w:rsidP="006A371B">
            <w:pPr>
              <w:pStyle w:val="Default"/>
              <w:rPr>
                <w:rFonts w:asciiTheme="minorHAnsi" w:hAnsiTheme="minorHAnsi"/>
                <w:sz w:val="26"/>
                <w:szCs w:val="26"/>
              </w:rPr>
            </w:pPr>
          </w:p>
        </w:tc>
        <w:tc>
          <w:tcPr>
            <w:tcW w:w="6095"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03-13 March 2020 (11 days) </w:t>
            </w:r>
          </w:p>
          <w:p w:rsidR="006A371B" w:rsidRPr="006A371B" w:rsidRDefault="006A371B" w:rsidP="006A371B">
            <w:pPr>
              <w:pStyle w:val="Default"/>
              <w:rPr>
                <w:rFonts w:asciiTheme="minorHAnsi" w:hAnsiTheme="minorHAnsi"/>
                <w:sz w:val="26"/>
                <w:szCs w:val="26"/>
              </w:rPr>
            </w:pPr>
          </w:p>
        </w:tc>
      </w:tr>
      <w:tr w:rsidR="006A371B" w:rsidRPr="006A371B" w:rsidTr="006A371B">
        <w:trPr>
          <w:trHeight w:val="247"/>
        </w:trPr>
        <w:tc>
          <w:tcPr>
            <w:tcW w:w="3222"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Programme Director </w:t>
            </w:r>
          </w:p>
          <w:p w:rsidR="006A371B" w:rsidRPr="006A371B" w:rsidRDefault="006A371B" w:rsidP="006A371B">
            <w:pPr>
              <w:pStyle w:val="Default"/>
              <w:rPr>
                <w:rFonts w:asciiTheme="minorHAnsi" w:hAnsiTheme="minorHAnsi"/>
                <w:sz w:val="26"/>
                <w:szCs w:val="26"/>
              </w:rPr>
            </w:pPr>
          </w:p>
        </w:tc>
        <w:tc>
          <w:tcPr>
            <w:tcW w:w="6095"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K </w:t>
            </w:r>
            <w:proofErr w:type="spellStart"/>
            <w:r w:rsidRPr="006A371B">
              <w:rPr>
                <w:rFonts w:asciiTheme="minorHAnsi" w:hAnsiTheme="minorHAnsi"/>
                <w:sz w:val="26"/>
                <w:szCs w:val="26"/>
              </w:rPr>
              <w:t>Rajeshwar</w:t>
            </w:r>
            <w:proofErr w:type="spellEnd"/>
            <w:r w:rsidRPr="006A371B">
              <w:rPr>
                <w:rFonts w:asciiTheme="minorHAnsi" w:hAnsiTheme="minorHAnsi"/>
                <w:sz w:val="26"/>
                <w:szCs w:val="26"/>
              </w:rPr>
              <w:t xml:space="preserve"> </w:t>
            </w:r>
          </w:p>
          <w:p w:rsidR="006A371B" w:rsidRPr="006A371B" w:rsidRDefault="006A371B" w:rsidP="006A371B">
            <w:pPr>
              <w:pStyle w:val="Default"/>
              <w:rPr>
                <w:rFonts w:asciiTheme="minorHAnsi" w:hAnsiTheme="minorHAnsi"/>
                <w:sz w:val="26"/>
                <w:szCs w:val="26"/>
              </w:rPr>
            </w:pPr>
          </w:p>
        </w:tc>
      </w:tr>
      <w:tr w:rsidR="006A371B" w:rsidRPr="006A371B" w:rsidTr="006A371B">
        <w:trPr>
          <w:trHeight w:val="247"/>
        </w:trPr>
        <w:tc>
          <w:tcPr>
            <w:tcW w:w="3222"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Expected Outcome </w:t>
            </w:r>
          </w:p>
          <w:p w:rsidR="006A371B" w:rsidRPr="006A371B" w:rsidRDefault="006A371B" w:rsidP="006A371B">
            <w:pPr>
              <w:pStyle w:val="Default"/>
              <w:rPr>
                <w:rFonts w:asciiTheme="minorHAnsi" w:hAnsiTheme="minorHAnsi"/>
                <w:sz w:val="26"/>
                <w:szCs w:val="26"/>
              </w:rPr>
            </w:pPr>
          </w:p>
        </w:tc>
        <w:tc>
          <w:tcPr>
            <w:tcW w:w="6095"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Design, Implement and Monitor state specific MMPs. </w:t>
            </w:r>
          </w:p>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Adopt and applicability best practices prevalent in other states, as applicable </w:t>
            </w:r>
          </w:p>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Participants will have the conceptual knowledge of e-Governance and its various important elements </w:t>
            </w:r>
          </w:p>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Participants will have the info</w:t>
            </w:r>
            <w:bookmarkStart w:id="0" w:name="_GoBack"/>
            <w:bookmarkEnd w:id="0"/>
            <w:r w:rsidRPr="006A371B">
              <w:rPr>
                <w:rFonts w:asciiTheme="minorHAnsi" w:hAnsiTheme="minorHAnsi"/>
                <w:sz w:val="26"/>
                <w:szCs w:val="26"/>
              </w:rPr>
              <w:t xml:space="preserve">rmation of various citizen centric and inclusive e-Governance projects, schemes, services and applications </w:t>
            </w:r>
          </w:p>
        </w:tc>
      </w:tr>
    </w:tbl>
    <w:p w:rsidR="006A371B" w:rsidRDefault="006A371B" w:rsidP="006A371B">
      <w:pPr>
        <w:pStyle w:val="Default"/>
      </w:pPr>
    </w:p>
    <w:p w:rsidR="006A371B" w:rsidRDefault="006A371B"/>
    <w:p w:rsidR="006A371B" w:rsidRDefault="006A371B">
      <w:pPr>
        <w:rPr>
          <w:b/>
          <w:bCs/>
          <w:sz w:val="28"/>
          <w:szCs w:val="28"/>
        </w:rPr>
      </w:pPr>
      <w:r>
        <w:rPr>
          <w:b/>
          <w:bCs/>
          <w:sz w:val="28"/>
          <w:szCs w:val="28"/>
        </w:rPr>
        <w:t>Programme Schedule Day-wise break-up</w:t>
      </w:r>
    </w:p>
    <w:p w:rsidR="006A371B" w:rsidRDefault="006A371B">
      <w:pPr>
        <w:rPr>
          <w:b/>
          <w:bCs/>
          <w:sz w:val="28"/>
          <w:szCs w:val="28"/>
        </w:rPr>
      </w:pPr>
    </w:p>
    <w:tbl>
      <w:tblPr>
        <w:tblStyle w:val="TableGrid"/>
        <w:tblW w:w="0" w:type="auto"/>
        <w:tblLook w:val="04A0" w:firstRow="1" w:lastRow="0" w:firstColumn="1" w:lastColumn="0" w:noHBand="0" w:noVBand="1"/>
      </w:tblPr>
      <w:tblGrid>
        <w:gridCol w:w="1696"/>
        <w:gridCol w:w="6096"/>
      </w:tblGrid>
      <w:tr w:rsidR="006A371B" w:rsidRPr="006A371B" w:rsidTr="00CC4F7E">
        <w:tc>
          <w:tcPr>
            <w:tcW w:w="1696" w:type="dxa"/>
          </w:tcPr>
          <w:p w:rsidR="006A371B" w:rsidRPr="006A371B" w:rsidRDefault="006A371B" w:rsidP="006A371B">
            <w:pPr>
              <w:jc w:val="center"/>
              <w:rPr>
                <w:b/>
                <w:sz w:val="26"/>
                <w:szCs w:val="26"/>
              </w:rPr>
            </w:pPr>
            <w:r w:rsidRPr="006A371B">
              <w:rPr>
                <w:b/>
                <w:sz w:val="26"/>
                <w:szCs w:val="26"/>
              </w:rPr>
              <w:t>Day</w:t>
            </w:r>
          </w:p>
        </w:tc>
        <w:tc>
          <w:tcPr>
            <w:tcW w:w="6096" w:type="dxa"/>
          </w:tcPr>
          <w:p w:rsidR="006A371B" w:rsidRPr="006A371B" w:rsidRDefault="006A371B" w:rsidP="006A371B">
            <w:pPr>
              <w:jc w:val="center"/>
              <w:rPr>
                <w:b/>
                <w:sz w:val="26"/>
                <w:szCs w:val="26"/>
              </w:rPr>
            </w:pPr>
            <w:r w:rsidRPr="006A371B">
              <w:rPr>
                <w:b/>
                <w:sz w:val="26"/>
                <w:szCs w:val="26"/>
              </w:rPr>
              <w:t>Session</w:t>
            </w: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Introduction to the course and Sharing experiences </w:t>
            </w:r>
          </w:p>
          <w:p w:rsidR="00CC4F7E" w:rsidRDefault="006A371B" w:rsidP="006A371B">
            <w:pPr>
              <w:rPr>
                <w:sz w:val="26"/>
                <w:szCs w:val="26"/>
              </w:rPr>
            </w:pPr>
            <w:r w:rsidRPr="006A371B">
              <w:rPr>
                <w:sz w:val="26"/>
                <w:szCs w:val="26"/>
              </w:rPr>
              <w:t>Over view of e-Governance concepts and Models</w:t>
            </w:r>
          </w:p>
          <w:p w:rsidR="006A371B" w:rsidRPr="006A371B" w:rsidRDefault="006A371B" w:rsidP="006A371B">
            <w:pPr>
              <w:rPr>
                <w:sz w:val="26"/>
                <w:szCs w:val="26"/>
              </w:rPr>
            </w:pPr>
            <w:r w:rsidRPr="006A371B">
              <w:rPr>
                <w:sz w:val="26"/>
                <w:szCs w:val="26"/>
              </w:rPr>
              <w:t xml:space="preserve"> </w:t>
            </w: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Case Study and Best Practices on G2C Model </w:t>
            </w:r>
          </w:p>
          <w:p w:rsidR="006A371B" w:rsidRPr="006A371B" w:rsidRDefault="006A371B">
            <w:pPr>
              <w:rPr>
                <w:sz w:val="26"/>
                <w:szCs w:val="26"/>
              </w:rPr>
            </w:pP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Overview of National e-Governance Plan, Vision and Strategy </w:t>
            </w:r>
          </w:p>
          <w:p w:rsidR="006A371B" w:rsidRPr="006A371B" w:rsidRDefault="006A371B">
            <w:pPr>
              <w:rPr>
                <w:sz w:val="26"/>
                <w:szCs w:val="26"/>
              </w:rPr>
            </w:pP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Case Study and Best Practices on G2B Model </w:t>
            </w:r>
          </w:p>
          <w:p w:rsidR="006A371B" w:rsidRPr="006A371B" w:rsidRDefault="006A371B">
            <w:pPr>
              <w:rPr>
                <w:sz w:val="26"/>
                <w:szCs w:val="26"/>
              </w:rPr>
            </w:pP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Government Process Re-engineering </w:t>
            </w:r>
          </w:p>
          <w:p w:rsidR="006A371B" w:rsidRPr="006A371B" w:rsidRDefault="006A371B" w:rsidP="006A371B">
            <w:pPr>
              <w:rPr>
                <w:sz w:val="26"/>
                <w:szCs w:val="26"/>
              </w:rPr>
            </w:pPr>
            <w:r w:rsidRPr="006A371B">
              <w:rPr>
                <w:sz w:val="26"/>
                <w:szCs w:val="26"/>
              </w:rPr>
              <w:t xml:space="preserve">e-Governance to Mobile Governance </w:t>
            </w: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Case Study and Best Practices on G2G Model </w:t>
            </w:r>
          </w:p>
          <w:p w:rsidR="006A371B" w:rsidRPr="006A371B" w:rsidRDefault="006A371B">
            <w:pPr>
              <w:rPr>
                <w:sz w:val="26"/>
                <w:szCs w:val="26"/>
              </w:rPr>
            </w:pP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Business Models for implementation of e-Governance. </w:t>
            </w:r>
          </w:p>
          <w:p w:rsidR="006A371B" w:rsidRDefault="006A371B" w:rsidP="006A371B">
            <w:pPr>
              <w:rPr>
                <w:sz w:val="26"/>
                <w:szCs w:val="26"/>
              </w:rPr>
            </w:pPr>
            <w:r w:rsidRPr="006A371B">
              <w:rPr>
                <w:sz w:val="26"/>
                <w:szCs w:val="26"/>
              </w:rPr>
              <w:t>Digital India Programme : e -</w:t>
            </w:r>
            <w:proofErr w:type="spellStart"/>
            <w:r w:rsidRPr="006A371B">
              <w:rPr>
                <w:sz w:val="26"/>
                <w:szCs w:val="26"/>
              </w:rPr>
              <w:t>Kranthi</w:t>
            </w:r>
            <w:proofErr w:type="spellEnd"/>
            <w:r w:rsidRPr="006A371B">
              <w:rPr>
                <w:sz w:val="26"/>
                <w:szCs w:val="26"/>
              </w:rPr>
              <w:t xml:space="preserve"> </w:t>
            </w:r>
          </w:p>
          <w:p w:rsidR="00CC4F7E" w:rsidRPr="006A371B" w:rsidRDefault="00CC4F7E" w:rsidP="006A371B">
            <w:pPr>
              <w:rPr>
                <w:sz w:val="26"/>
                <w:szCs w:val="26"/>
              </w:rPr>
            </w:pP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Legal and policy framework for e-Governance implementations, </w:t>
            </w:r>
          </w:p>
          <w:p w:rsidR="006A371B" w:rsidRPr="006A371B" w:rsidRDefault="006A371B" w:rsidP="006A371B">
            <w:pPr>
              <w:pStyle w:val="Default"/>
              <w:rPr>
                <w:rFonts w:asciiTheme="minorHAnsi" w:hAnsiTheme="minorHAnsi"/>
                <w:sz w:val="26"/>
                <w:szCs w:val="26"/>
              </w:rPr>
            </w:pP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Critical issues in e-Governance </w:t>
            </w:r>
          </w:p>
          <w:p w:rsidR="006A371B" w:rsidRPr="006A371B" w:rsidRDefault="006A371B" w:rsidP="006A371B">
            <w:pPr>
              <w:pStyle w:val="Default"/>
              <w:rPr>
                <w:rFonts w:asciiTheme="minorHAnsi" w:hAnsiTheme="minorHAnsi"/>
                <w:sz w:val="26"/>
                <w:szCs w:val="26"/>
              </w:rPr>
            </w:pPr>
          </w:p>
        </w:tc>
      </w:tr>
      <w:tr w:rsidR="006A371B" w:rsidRPr="006A371B" w:rsidTr="00CC4F7E">
        <w:tc>
          <w:tcPr>
            <w:tcW w:w="1696" w:type="dxa"/>
          </w:tcPr>
          <w:p w:rsidR="006A371B" w:rsidRPr="006A371B" w:rsidRDefault="006A371B" w:rsidP="006A371B">
            <w:pPr>
              <w:pStyle w:val="ListParagraph"/>
              <w:numPr>
                <w:ilvl w:val="0"/>
                <w:numId w:val="1"/>
              </w:numPr>
              <w:jc w:val="center"/>
              <w:rPr>
                <w:sz w:val="26"/>
                <w:szCs w:val="26"/>
              </w:rPr>
            </w:pPr>
          </w:p>
        </w:tc>
        <w:tc>
          <w:tcPr>
            <w:tcW w:w="6096" w:type="dxa"/>
          </w:tcPr>
          <w:p w:rsidR="006A371B" w:rsidRPr="006A371B" w:rsidRDefault="006A371B" w:rsidP="006A371B">
            <w:pPr>
              <w:pStyle w:val="Default"/>
              <w:rPr>
                <w:rFonts w:asciiTheme="minorHAnsi" w:hAnsiTheme="minorHAnsi"/>
                <w:sz w:val="26"/>
                <w:szCs w:val="26"/>
              </w:rPr>
            </w:pPr>
            <w:r w:rsidRPr="006A371B">
              <w:rPr>
                <w:rFonts w:asciiTheme="minorHAnsi" w:hAnsiTheme="minorHAnsi"/>
                <w:sz w:val="26"/>
                <w:szCs w:val="26"/>
              </w:rPr>
              <w:t xml:space="preserve">Why e-Governance projects fail </w:t>
            </w:r>
          </w:p>
          <w:p w:rsidR="006A371B" w:rsidRPr="006A371B" w:rsidRDefault="006A371B" w:rsidP="006A371B">
            <w:pPr>
              <w:pStyle w:val="Default"/>
              <w:rPr>
                <w:rFonts w:asciiTheme="minorHAnsi" w:hAnsiTheme="minorHAnsi"/>
                <w:sz w:val="26"/>
                <w:szCs w:val="26"/>
              </w:rPr>
            </w:pPr>
          </w:p>
        </w:tc>
      </w:tr>
    </w:tbl>
    <w:p w:rsidR="006A371B" w:rsidRDefault="006A371B"/>
    <w:p w:rsidR="00CC4F7E" w:rsidRPr="00CC4F20" w:rsidRDefault="00CC4F7E">
      <w:pPr>
        <w:rPr>
          <w:sz w:val="26"/>
          <w:szCs w:val="24"/>
        </w:rPr>
      </w:pPr>
    </w:p>
    <w:p w:rsidR="00CC4F7E" w:rsidRPr="00CC4F20" w:rsidRDefault="00CC4F7E" w:rsidP="00CC4F7E">
      <w:pPr>
        <w:jc w:val="center"/>
        <w:rPr>
          <w:sz w:val="26"/>
          <w:szCs w:val="24"/>
        </w:rPr>
      </w:pPr>
      <w:r w:rsidRPr="00CC4F20">
        <w:rPr>
          <w:sz w:val="26"/>
          <w:szCs w:val="24"/>
        </w:rPr>
        <w:t>***</w:t>
      </w:r>
    </w:p>
    <w:sectPr w:rsidR="00CC4F7E" w:rsidRPr="00CC4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F1A69"/>
    <w:multiLevelType w:val="hybridMultilevel"/>
    <w:tmpl w:val="C1D6C8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7A"/>
    <w:rsid w:val="00140A94"/>
    <w:rsid w:val="006A371B"/>
    <w:rsid w:val="00727CAC"/>
    <w:rsid w:val="00CC4F20"/>
    <w:rsid w:val="00CC4F7E"/>
    <w:rsid w:val="00D2258D"/>
    <w:rsid w:val="00F14F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41334-69AA-4350-BCF4-F4456888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7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A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2021-02-16T06:28:00Z</dcterms:created>
  <dcterms:modified xsi:type="dcterms:W3CDTF">2021-02-16T06:42:00Z</dcterms:modified>
</cp:coreProperties>
</file>