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44" w:rsidRPr="00FC7658" w:rsidRDefault="00622AFD" w:rsidP="00416744">
      <w:pPr>
        <w:spacing w:line="276" w:lineRule="auto"/>
        <w:jc w:val="center"/>
        <w:rPr>
          <w:rFonts w:asciiTheme="majorHAnsi" w:hAnsiTheme="majorHAnsi" w:cstheme="majorHAnsi"/>
          <w:b/>
        </w:rPr>
      </w:pPr>
      <w:r w:rsidRPr="00FC7658">
        <w:rPr>
          <w:rFonts w:asciiTheme="majorHAnsi" w:hAnsiTheme="majorHAnsi" w:cstheme="majorHAnsi"/>
          <w:b/>
          <w:sz w:val="36"/>
        </w:rPr>
        <w:t xml:space="preserve">International </w:t>
      </w:r>
      <w:r w:rsidR="00416744" w:rsidRPr="00FC7658">
        <w:rPr>
          <w:rFonts w:asciiTheme="majorHAnsi" w:hAnsiTheme="majorHAnsi" w:cstheme="majorHAnsi"/>
          <w:b/>
          <w:sz w:val="36"/>
        </w:rPr>
        <w:t>Training on Vaccine and Cold Chain Management (T-</w:t>
      </w:r>
      <w:proofErr w:type="spellStart"/>
      <w:r w:rsidR="00416744" w:rsidRPr="00FC7658">
        <w:rPr>
          <w:rFonts w:asciiTheme="majorHAnsi" w:hAnsiTheme="majorHAnsi" w:cstheme="majorHAnsi"/>
          <w:b/>
          <w:sz w:val="36"/>
        </w:rPr>
        <w:t>VaCC</w:t>
      </w:r>
      <w:proofErr w:type="spellEnd"/>
      <w:r w:rsidR="00416744" w:rsidRPr="00FC7658">
        <w:rPr>
          <w:rFonts w:asciiTheme="majorHAnsi" w:hAnsiTheme="majorHAnsi" w:cstheme="majorHAnsi"/>
          <w:b/>
          <w:sz w:val="36"/>
        </w:rPr>
        <w:t>)</w:t>
      </w:r>
      <w:r w:rsidRPr="00FC7658">
        <w:rPr>
          <w:rFonts w:asciiTheme="majorHAnsi" w:hAnsiTheme="majorHAnsi" w:cstheme="majorHAnsi"/>
          <w:b/>
          <w:sz w:val="36"/>
        </w:rPr>
        <w:t xml:space="preserve"> for ITEC </w:t>
      </w:r>
    </w:p>
    <w:p w:rsidR="00416744" w:rsidRPr="00FC7658" w:rsidRDefault="00416744" w:rsidP="00416744">
      <w:pPr>
        <w:jc w:val="center"/>
        <w:rPr>
          <w:rFonts w:asciiTheme="majorHAnsi" w:hAnsiTheme="majorHAnsi" w:cstheme="majorHAnsi"/>
          <w:b/>
          <w:spacing w:val="-6"/>
          <w:w w:val="96"/>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sz w:val="56"/>
          <w:u w:val="single"/>
        </w:rPr>
      </w:pPr>
      <w:r w:rsidRPr="00FC7658">
        <w:rPr>
          <w:rFonts w:asciiTheme="majorHAnsi" w:hAnsiTheme="majorHAnsi" w:cstheme="majorHAnsi"/>
          <w:sz w:val="56"/>
          <w:u w:val="single"/>
        </w:rPr>
        <w:t>Introductory Document</w:t>
      </w: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r w:rsidRPr="00FC7658">
        <w:rPr>
          <w:rFonts w:asciiTheme="majorHAnsi" w:hAnsiTheme="majorHAnsi" w:cstheme="majorHAnsi"/>
          <w:noProof/>
        </w:rPr>
        <w:drawing>
          <wp:anchor distT="0" distB="0" distL="114300" distR="114300" simplePos="0" relativeHeight="251659264" behindDoc="0" locked="0" layoutInCell="1" allowOverlap="1" wp14:anchorId="14B0DDD1" wp14:editId="603A5C56">
            <wp:simplePos x="0" y="0"/>
            <wp:positionH relativeFrom="column">
              <wp:posOffset>2592070</wp:posOffset>
            </wp:positionH>
            <wp:positionV relativeFrom="paragraph">
              <wp:posOffset>92710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fficial_AmitGupta\Scanned matters\Symbols etc\imageedit_4_9104524098.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V relativeFrom="margin">
              <wp14:pctHeight>0</wp14:pctHeight>
            </wp14:sizeRelV>
          </wp:anchor>
        </w:drawing>
      </w: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i/>
          <w:u w:val="single"/>
        </w:rPr>
      </w:pPr>
    </w:p>
    <w:p w:rsidR="00416744" w:rsidRPr="00FC7658" w:rsidRDefault="00416744" w:rsidP="00416744">
      <w:pPr>
        <w:jc w:val="center"/>
        <w:rPr>
          <w:rFonts w:asciiTheme="majorHAnsi" w:hAnsiTheme="majorHAnsi" w:cstheme="majorHAnsi"/>
          <w:b/>
        </w:rPr>
      </w:pPr>
    </w:p>
    <w:p w:rsidR="00416744" w:rsidRPr="00FC7658" w:rsidRDefault="00416744" w:rsidP="00416744">
      <w:pPr>
        <w:jc w:val="center"/>
        <w:rPr>
          <w:rFonts w:asciiTheme="majorHAnsi" w:hAnsiTheme="majorHAnsi" w:cstheme="majorHAnsi"/>
          <w:b/>
          <w:sz w:val="44"/>
        </w:rPr>
      </w:pPr>
      <w:r w:rsidRPr="00FC7658">
        <w:rPr>
          <w:rFonts w:asciiTheme="majorHAnsi" w:hAnsiTheme="majorHAnsi" w:cstheme="majorHAnsi"/>
          <w:b/>
          <w:sz w:val="44"/>
        </w:rPr>
        <w:t>The National Institute of Health and Family Welfare</w:t>
      </w:r>
    </w:p>
    <w:p w:rsidR="00416744" w:rsidRPr="00FC7658" w:rsidRDefault="00416744" w:rsidP="00416744">
      <w:pPr>
        <w:jc w:val="center"/>
        <w:rPr>
          <w:rFonts w:asciiTheme="majorHAnsi" w:hAnsiTheme="majorHAnsi" w:cstheme="majorHAnsi"/>
          <w:b/>
          <w:sz w:val="44"/>
        </w:rPr>
      </w:pPr>
      <w:r w:rsidRPr="00FC7658">
        <w:rPr>
          <w:rFonts w:asciiTheme="majorHAnsi" w:hAnsiTheme="majorHAnsi" w:cstheme="majorHAnsi"/>
          <w:b/>
          <w:sz w:val="44"/>
        </w:rPr>
        <w:t>New Delhi</w:t>
      </w:r>
    </w:p>
    <w:p w:rsidR="00416744" w:rsidRPr="00FC7658" w:rsidRDefault="00416744" w:rsidP="00416744">
      <w:pPr>
        <w:jc w:val="center"/>
        <w:rPr>
          <w:rFonts w:asciiTheme="majorHAnsi" w:hAnsiTheme="majorHAnsi" w:cstheme="majorHAnsi"/>
          <w:b/>
          <w:sz w:val="44"/>
        </w:rPr>
      </w:pPr>
      <w:r w:rsidRPr="00FC7658">
        <w:rPr>
          <w:rFonts w:asciiTheme="majorHAnsi" w:hAnsiTheme="majorHAnsi" w:cstheme="majorHAnsi"/>
          <w:b/>
          <w:bCs/>
          <w:sz w:val="44"/>
          <w:shd w:val="clear" w:color="auto" w:fill="FFFFFF"/>
        </w:rPr>
        <w:t>National Cold Chain and Vaccine Management Resource Centre</w:t>
      </w:r>
    </w:p>
    <w:p w:rsidR="00416744" w:rsidRPr="00FC7658" w:rsidRDefault="00416744" w:rsidP="00416744">
      <w:pPr>
        <w:jc w:val="center"/>
        <w:rPr>
          <w:rFonts w:asciiTheme="majorHAnsi" w:hAnsiTheme="majorHAnsi" w:cstheme="majorHAnsi"/>
          <w:b/>
          <w:spacing w:val="-6"/>
          <w:w w:val="96"/>
        </w:rPr>
      </w:pPr>
    </w:p>
    <w:p w:rsidR="00416744" w:rsidRPr="00FC7658" w:rsidRDefault="00416744" w:rsidP="00416744">
      <w:pPr>
        <w:jc w:val="center"/>
        <w:rPr>
          <w:rFonts w:asciiTheme="majorHAnsi" w:hAnsiTheme="majorHAnsi" w:cstheme="majorHAnsi"/>
          <w:b/>
          <w:spacing w:val="-6"/>
          <w:w w:val="96"/>
        </w:rPr>
      </w:pPr>
    </w:p>
    <w:p w:rsidR="00416744" w:rsidRPr="00FC7658" w:rsidRDefault="00416744" w:rsidP="00416744">
      <w:pPr>
        <w:jc w:val="center"/>
        <w:rPr>
          <w:rFonts w:asciiTheme="majorHAnsi" w:hAnsiTheme="majorHAnsi" w:cstheme="majorHAnsi"/>
          <w:b/>
          <w:spacing w:val="-6"/>
          <w:w w:val="96"/>
        </w:rPr>
      </w:pPr>
    </w:p>
    <w:p w:rsidR="00DE19A7" w:rsidRPr="00FC7658" w:rsidRDefault="00DE19A7" w:rsidP="00416744">
      <w:pPr>
        <w:spacing w:line="276" w:lineRule="auto"/>
        <w:jc w:val="center"/>
        <w:rPr>
          <w:rFonts w:asciiTheme="majorHAnsi" w:hAnsiTheme="majorHAnsi" w:cstheme="majorHAnsi"/>
          <w:b/>
          <w:sz w:val="36"/>
        </w:rPr>
      </w:pPr>
    </w:p>
    <w:p w:rsidR="00DE19A7" w:rsidRPr="00FC7658" w:rsidRDefault="00DE19A7" w:rsidP="00416744">
      <w:pPr>
        <w:spacing w:line="276" w:lineRule="auto"/>
        <w:jc w:val="center"/>
        <w:rPr>
          <w:rFonts w:asciiTheme="majorHAnsi" w:hAnsiTheme="majorHAnsi" w:cstheme="majorHAnsi"/>
          <w:b/>
          <w:sz w:val="36"/>
        </w:rPr>
      </w:pPr>
    </w:p>
    <w:p w:rsidR="00DE19A7" w:rsidRPr="00FC7658" w:rsidRDefault="00DE19A7" w:rsidP="00416744">
      <w:pPr>
        <w:spacing w:line="276" w:lineRule="auto"/>
        <w:jc w:val="center"/>
        <w:rPr>
          <w:rFonts w:asciiTheme="majorHAnsi" w:hAnsiTheme="majorHAnsi" w:cstheme="majorHAnsi"/>
          <w:b/>
          <w:sz w:val="36"/>
        </w:rPr>
      </w:pPr>
    </w:p>
    <w:p w:rsidR="00DE19A7" w:rsidRPr="00FC7658" w:rsidRDefault="00DE19A7" w:rsidP="00416744">
      <w:pPr>
        <w:spacing w:line="276" w:lineRule="auto"/>
        <w:jc w:val="center"/>
        <w:rPr>
          <w:rFonts w:asciiTheme="majorHAnsi" w:hAnsiTheme="majorHAnsi" w:cstheme="majorHAnsi"/>
          <w:b/>
          <w:sz w:val="36"/>
        </w:rPr>
      </w:pPr>
    </w:p>
    <w:p w:rsidR="00416744" w:rsidRPr="00FC7658" w:rsidRDefault="00416744" w:rsidP="00416744">
      <w:pPr>
        <w:spacing w:line="276" w:lineRule="auto"/>
        <w:jc w:val="center"/>
        <w:rPr>
          <w:rFonts w:asciiTheme="majorHAnsi" w:hAnsiTheme="majorHAnsi" w:cstheme="majorHAnsi"/>
          <w:b/>
          <w:sz w:val="36"/>
        </w:rPr>
      </w:pPr>
      <w:r w:rsidRPr="00FC7658">
        <w:rPr>
          <w:rFonts w:asciiTheme="majorHAnsi" w:hAnsiTheme="majorHAnsi" w:cstheme="majorHAnsi"/>
          <w:b/>
          <w:sz w:val="36"/>
        </w:rPr>
        <w:lastRenderedPageBreak/>
        <w:t>Training on Vaccine and Cold Chain Management (T-</w:t>
      </w:r>
      <w:proofErr w:type="spellStart"/>
      <w:r w:rsidRPr="00FC7658">
        <w:rPr>
          <w:rFonts w:asciiTheme="majorHAnsi" w:hAnsiTheme="majorHAnsi" w:cstheme="majorHAnsi"/>
          <w:b/>
          <w:sz w:val="36"/>
        </w:rPr>
        <w:t>VaCC</w:t>
      </w:r>
      <w:proofErr w:type="spellEnd"/>
      <w:r w:rsidRPr="00FC7658">
        <w:rPr>
          <w:rFonts w:asciiTheme="majorHAnsi" w:hAnsiTheme="majorHAnsi" w:cstheme="majorHAnsi"/>
          <w:b/>
          <w:sz w:val="36"/>
        </w:rPr>
        <w:t>)</w:t>
      </w:r>
    </w:p>
    <w:p w:rsidR="00416744" w:rsidRPr="00FC7658" w:rsidRDefault="00416744" w:rsidP="00416744">
      <w:pPr>
        <w:jc w:val="center"/>
        <w:rPr>
          <w:rFonts w:asciiTheme="majorHAnsi" w:hAnsiTheme="majorHAnsi" w:cstheme="majorHAnsi"/>
          <w:b/>
          <w:spacing w:val="-6"/>
          <w:w w:val="96"/>
        </w:rPr>
      </w:pPr>
    </w:p>
    <w:p w:rsidR="00416744" w:rsidRPr="00FC7658" w:rsidRDefault="00416744" w:rsidP="00416744">
      <w:pPr>
        <w:jc w:val="center"/>
        <w:rPr>
          <w:rFonts w:asciiTheme="majorHAnsi" w:hAnsiTheme="majorHAnsi" w:cstheme="majorHAnsi"/>
        </w:rPr>
      </w:pPr>
    </w:p>
    <w:p w:rsidR="00416744" w:rsidRPr="00FC7658" w:rsidRDefault="00416744" w:rsidP="00416744">
      <w:pPr>
        <w:jc w:val="center"/>
        <w:rPr>
          <w:rFonts w:asciiTheme="majorHAnsi" w:hAnsiTheme="majorHAnsi" w:cstheme="majorHAnsi"/>
        </w:rPr>
      </w:pPr>
    </w:p>
    <w:p w:rsidR="00416744" w:rsidRPr="00FC7658" w:rsidRDefault="00416744" w:rsidP="00416744">
      <w:pPr>
        <w:jc w:val="center"/>
        <w:rPr>
          <w:rFonts w:asciiTheme="majorHAnsi" w:hAnsiTheme="majorHAnsi" w:cstheme="majorHAnsi"/>
        </w:rPr>
      </w:pPr>
    </w:p>
    <w:p w:rsidR="00416744" w:rsidRPr="00FC7658" w:rsidRDefault="00416744" w:rsidP="00416744">
      <w:pPr>
        <w:jc w:val="center"/>
        <w:rPr>
          <w:rFonts w:asciiTheme="majorHAnsi" w:hAnsiTheme="majorHAnsi" w:cstheme="majorHAnsi"/>
          <w:sz w:val="36"/>
        </w:rPr>
      </w:pPr>
    </w:p>
    <w:p w:rsidR="00416744" w:rsidRPr="00FC7658" w:rsidRDefault="00416744" w:rsidP="00416744">
      <w:pPr>
        <w:spacing w:line="300" w:lineRule="auto"/>
        <w:jc w:val="center"/>
        <w:rPr>
          <w:rFonts w:asciiTheme="majorHAnsi" w:hAnsiTheme="majorHAnsi" w:cstheme="majorHAnsi"/>
          <w:b/>
          <w:sz w:val="36"/>
          <w:u w:val="single"/>
        </w:rPr>
      </w:pPr>
      <w:r w:rsidRPr="00FC7658">
        <w:rPr>
          <w:rFonts w:asciiTheme="majorHAnsi" w:hAnsiTheme="majorHAnsi" w:cstheme="majorHAnsi"/>
          <w:b/>
          <w:sz w:val="36"/>
          <w:u w:val="single"/>
        </w:rPr>
        <w:t>Training Team</w:t>
      </w:r>
    </w:p>
    <w:p w:rsidR="00416744" w:rsidRPr="00FC7658" w:rsidRDefault="00151E9B" w:rsidP="00416744">
      <w:pPr>
        <w:tabs>
          <w:tab w:val="left" w:pos="4230"/>
          <w:tab w:val="left" w:pos="4680"/>
        </w:tabs>
        <w:spacing w:before="120" w:after="120"/>
        <w:rPr>
          <w:rFonts w:asciiTheme="majorHAnsi" w:hAnsiTheme="majorHAnsi" w:cstheme="majorHAnsi"/>
          <w:b/>
          <w:sz w:val="32"/>
        </w:rPr>
      </w:pPr>
      <w:r w:rsidRPr="00FC7658">
        <w:rPr>
          <w:rFonts w:asciiTheme="majorHAnsi" w:hAnsiTheme="majorHAnsi" w:cstheme="majorHAnsi"/>
          <w:b/>
          <w:sz w:val="32"/>
        </w:rPr>
        <w:t>Course Coordinator:</w:t>
      </w:r>
      <w:r w:rsidRPr="00FC7658">
        <w:rPr>
          <w:rFonts w:asciiTheme="majorHAnsi" w:hAnsiTheme="majorHAnsi" w:cstheme="majorHAnsi"/>
          <w:b/>
          <w:sz w:val="32"/>
        </w:rPr>
        <w:tab/>
      </w:r>
      <w:r w:rsidR="00416744" w:rsidRPr="00FC7658">
        <w:rPr>
          <w:rFonts w:asciiTheme="majorHAnsi" w:hAnsiTheme="majorHAnsi" w:cstheme="majorHAnsi"/>
          <w:b/>
          <w:sz w:val="32"/>
        </w:rPr>
        <w:t xml:space="preserve">Prof. </w:t>
      </w:r>
      <w:proofErr w:type="spellStart"/>
      <w:r w:rsidR="00416744" w:rsidRPr="00FC7658">
        <w:rPr>
          <w:rFonts w:asciiTheme="majorHAnsi" w:hAnsiTheme="majorHAnsi" w:cstheme="majorHAnsi"/>
          <w:b/>
          <w:sz w:val="32"/>
        </w:rPr>
        <w:t>Harshad</w:t>
      </w:r>
      <w:proofErr w:type="spellEnd"/>
      <w:r w:rsidR="00416744" w:rsidRPr="00FC7658">
        <w:rPr>
          <w:rFonts w:asciiTheme="majorHAnsi" w:hAnsiTheme="majorHAnsi" w:cstheme="majorHAnsi"/>
          <w:b/>
          <w:sz w:val="32"/>
        </w:rPr>
        <w:t xml:space="preserve"> Thakur</w:t>
      </w:r>
      <w:r w:rsidR="00D3163A" w:rsidRPr="00FC7658">
        <w:rPr>
          <w:rFonts w:asciiTheme="majorHAnsi" w:hAnsiTheme="majorHAnsi" w:cstheme="majorHAnsi"/>
          <w:b/>
          <w:sz w:val="32"/>
        </w:rPr>
        <w:t>, NIHFW</w:t>
      </w:r>
    </w:p>
    <w:p w:rsidR="001855DD" w:rsidRPr="00FC7658" w:rsidRDefault="001855DD" w:rsidP="00416744">
      <w:pPr>
        <w:tabs>
          <w:tab w:val="left" w:pos="4230"/>
          <w:tab w:val="left" w:pos="4680"/>
        </w:tabs>
        <w:spacing w:before="120" w:after="120"/>
        <w:rPr>
          <w:rFonts w:asciiTheme="majorHAnsi" w:hAnsiTheme="majorHAnsi" w:cstheme="majorHAnsi"/>
          <w:b/>
          <w:sz w:val="32"/>
        </w:rPr>
      </w:pPr>
      <w:r w:rsidRPr="00FC7658">
        <w:rPr>
          <w:rFonts w:asciiTheme="majorHAnsi" w:hAnsiTheme="majorHAnsi" w:cstheme="majorHAnsi"/>
          <w:b/>
          <w:sz w:val="32"/>
        </w:rPr>
        <w:t xml:space="preserve">                                                           Dr. </w:t>
      </w:r>
      <w:proofErr w:type="spellStart"/>
      <w:r w:rsidRPr="00FC7658">
        <w:rPr>
          <w:rFonts w:asciiTheme="majorHAnsi" w:hAnsiTheme="majorHAnsi" w:cstheme="majorHAnsi"/>
          <w:b/>
          <w:sz w:val="32"/>
        </w:rPr>
        <w:t>Renu</w:t>
      </w:r>
      <w:proofErr w:type="spellEnd"/>
      <w:r w:rsidRPr="00FC7658">
        <w:rPr>
          <w:rFonts w:asciiTheme="majorHAnsi" w:hAnsiTheme="majorHAnsi" w:cstheme="majorHAnsi"/>
          <w:b/>
          <w:sz w:val="32"/>
        </w:rPr>
        <w:t xml:space="preserve"> </w:t>
      </w:r>
      <w:proofErr w:type="spellStart"/>
      <w:r w:rsidRPr="00FC7658">
        <w:rPr>
          <w:rFonts w:asciiTheme="majorHAnsi" w:hAnsiTheme="majorHAnsi" w:cstheme="majorHAnsi"/>
          <w:b/>
          <w:sz w:val="32"/>
        </w:rPr>
        <w:t>Shahrawat</w:t>
      </w:r>
      <w:proofErr w:type="spellEnd"/>
    </w:p>
    <w:p w:rsidR="007F736C" w:rsidRPr="00FC7658" w:rsidRDefault="007F736C" w:rsidP="00416744">
      <w:pPr>
        <w:tabs>
          <w:tab w:val="left" w:pos="4230"/>
          <w:tab w:val="left" w:pos="4680"/>
        </w:tabs>
        <w:spacing w:before="120" w:after="120"/>
        <w:rPr>
          <w:rFonts w:asciiTheme="majorHAnsi" w:hAnsiTheme="majorHAnsi" w:cstheme="majorHAnsi"/>
          <w:b/>
          <w:sz w:val="32"/>
        </w:rPr>
      </w:pPr>
    </w:p>
    <w:p w:rsidR="00151E9B" w:rsidRPr="00FC7658" w:rsidRDefault="00151E9B" w:rsidP="00416744">
      <w:pPr>
        <w:tabs>
          <w:tab w:val="left" w:pos="4230"/>
          <w:tab w:val="left" w:pos="4680"/>
        </w:tabs>
        <w:spacing w:before="120" w:after="120"/>
        <w:rPr>
          <w:rFonts w:asciiTheme="majorHAnsi" w:hAnsiTheme="majorHAnsi" w:cstheme="majorHAnsi"/>
          <w:b/>
          <w:sz w:val="32"/>
        </w:rPr>
      </w:pPr>
      <w:r w:rsidRPr="00FC7658">
        <w:rPr>
          <w:rFonts w:asciiTheme="majorHAnsi" w:hAnsiTheme="majorHAnsi" w:cstheme="majorHAnsi"/>
          <w:b/>
          <w:sz w:val="32"/>
        </w:rPr>
        <w:t>Course Co-coordinator:</w:t>
      </w:r>
      <w:r w:rsidRPr="00FC7658">
        <w:rPr>
          <w:rFonts w:asciiTheme="majorHAnsi" w:hAnsiTheme="majorHAnsi" w:cstheme="majorHAnsi"/>
          <w:b/>
          <w:sz w:val="32"/>
        </w:rPr>
        <w:tab/>
      </w:r>
      <w:r w:rsidR="00416744" w:rsidRPr="00FC7658">
        <w:rPr>
          <w:rFonts w:asciiTheme="majorHAnsi" w:hAnsiTheme="majorHAnsi" w:cstheme="majorHAnsi"/>
          <w:b/>
          <w:sz w:val="32"/>
        </w:rPr>
        <w:t>Dr. Snehil</w:t>
      </w:r>
      <w:r w:rsidR="00D3163A" w:rsidRPr="00FC7658">
        <w:rPr>
          <w:rFonts w:asciiTheme="majorHAnsi" w:hAnsiTheme="majorHAnsi" w:cstheme="majorHAnsi"/>
          <w:b/>
          <w:sz w:val="32"/>
        </w:rPr>
        <w:t>, NCCVMRC</w:t>
      </w:r>
      <w:r w:rsidR="005F3838" w:rsidRPr="00FC7658">
        <w:rPr>
          <w:rFonts w:asciiTheme="majorHAnsi" w:hAnsiTheme="majorHAnsi" w:cstheme="majorHAnsi"/>
          <w:b/>
          <w:sz w:val="32"/>
        </w:rPr>
        <w:t>, NIHFW</w:t>
      </w:r>
    </w:p>
    <w:p w:rsidR="00416744" w:rsidRPr="00FC7658" w:rsidRDefault="00151E9B" w:rsidP="001855DD">
      <w:pPr>
        <w:tabs>
          <w:tab w:val="left" w:pos="4230"/>
          <w:tab w:val="left" w:pos="4680"/>
        </w:tabs>
        <w:spacing w:before="120" w:after="120"/>
        <w:rPr>
          <w:rFonts w:asciiTheme="majorHAnsi" w:hAnsiTheme="majorHAnsi" w:cstheme="majorHAnsi"/>
          <w:b/>
          <w:sz w:val="32"/>
        </w:rPr>
      </w:pPr>
      <w:r w:rsidRPr="00FC7658">
        <w:rPr>
          <w:rFonts w:asciiTheme="majorHAnsi" w:hAnsiTheme="majorHAnsi" w:cstheme="majorHAnsi"/>
          <w:b/>
          <w:sz w:val="32"/>
        </w:rPr>
        <w:tab/>
      </w:r>
    </w:p>
    <w:p w:rsidR="004609BD" w:rsidRPr="00FC7658" w:rsidRDefault="004609BD" w:rsidP="00151E9B">
      <w:pPr>
        <w:tabs>
          <w:tab w:val="left" w:pos="4230"/>
          <w:tab w:val="left" w:pos="4680"/>
          <w:tab w:val="left" w:pos="5040"/>
        </w:tabs>
        <w:spacing w:before="120" w:after="120"/>
        <w:rPr>
          <w:rFonts w:asciiTheme="majorHAnsi" w:hAnsiTheme="majorHAnsi" w:cstheme="majorHAnsi"/>
          <w:b/>
          <w:sz w:val="32"/>
        </w:rPr>
      </w:pPr>
    </w:p>
    <w:p w:rsidR="00151E9B" w:rsidRPr="00FC7658" w:rsidRDefault="00151E9B" w:rsidP="00151E9B">
      <w:pPr>
        <w:tabs>
          <w:tab w:val="left" w:pos="4230"/>
          <w:tab w:val="left" w:pos="4680"/>
          <w:tab w:val="left" w:pos="5040"/>
        </w:tabs>
        <w:spacing w:before="120" w:after="120"/>
        <w:rPr>
          <w:rFonts w:asciiTheme="majorHAnsi" w:hAnsiTheme="majorHAnsi" w:cstheme="majorHAnsi"/>
          <w:b/>
          <w:sz w:val="32"/>
        </w:rPr>
      </w:pPr>
      <w:r w:rsidRPr="00FC7658">
        <w:rPr>
          <w:rFonts w:asciiTheme="majorHAnsi" w:hAnsiTheme="majorHAnsi" w:cstheme="majorHAnsi"/>
          <w:b/>
          <w:sz w:val="32"/>
        </w:rPr>
        <w:t>Course Associate:</w:t>
      </w:r>
      <w:r w:rsidRPr="00FC7658">
        <w:rPr>
          <w:rFonts w:asciiTheme="majorHAnsi" w:hAnsiTheme="majorHAnsi" w:cstheme="majorHAnsi"/>
          <w:b/>
          <w:sz w:val="32"/>
        </w:rPr>
        <w:tab/>
        <w:t>Mr. Manish Kumar, NCCVMRC, NIHFW</w:t>
      </w:r>
    </w:p>
    <w:p w:rsidR="00151E9B" w:rsidRPr="00FC7658" w:rsidRDefault="00151E9B" w:rsidP="00151E9B">
      <w:pPr>
        <w:tabs>
          <w:tab w:val="left" w:pos="4230"/>
          <w:tab w:val="left" w:pos="4680"/>
          <w:tab w:val="left" w:pos="5040"/>
        </w:tabs>
        <w:spacing w:before="120" w:after="120"/>
        <w:rPr>
          <w:rFonts w:asciiTheme="majorHAnsi" w:hAnsiTheme="majorHAnsi" w:cstheme="majorHAnsi"/>
          <w:b/>
          <w:sz w:val="32"/>
        </w:rPr>
      </w:pPr>
      <w:r w:rsidRPr="00FC7658">
        <w:rPr>
          <w:rFonts w:asciiTheme="majorHAnsi" w:hAnsiTheme="majorHAnsi" w:cstheme="majorHAnsi"/>
          <w:b/>
          <w:sz w:val="32"/>
        </w:rPr>
        <w:tab/>
        <w:t>Mr. Shashi Kant Ray, NCCVMRC, NIHFW</w:t>
      </w:r>
    </w:p>
    <w:p w:rsidR="00151E9B" w:rsidRPr="00FC7658" w:rsidRDefault="00151E9B" w:rsidP="00151E9B">
      <w:pPr>
        <w:tabs>
          <w:tab w:val="left" w:pos="4230"/>
          <w:tab w:val="left" w:pos="4680"/>
          <w:tab w:val="left" w:pos="5040"/>
        </w:tabs>
        <w:spacing w:before="120" w:after="120"/>
        <w:rPr>
          <w:rFonts w:asciiTheme="majorHAnsi" w:hAnsiTheme="majorHAnsi" w:cstheme="majorHAnsi"/>
          <w:b/>
          <w:sz w:val="32"/>
        </w:rPr>
      </w:pPr>
      <w:r w:rsidRPr="00FC7658">
        <w:rPr>
          <w:rFonts w:asciiTheme="majorHAnsi" w:hAnsiTheme="majorHAnsi" w:cstheme="majorHAnsi"/>
          <w:b/>
          <w:sz w:val="32"/>
        </w:rPr>
        <w:tab/>
        <w:t>Mr. Rakesh Kumar, NCCVMRC, NIHFW</w:t>
      </w:r>
    </w:p>
    <w:p w:rsidR="00416744" w:rsidRPr="00FC7658" w:rsidRDefault="00416744" w:rsidP="00416744">
      <w:pPr>
        <w:tabs>
          <w:tab w:val="left" w:pos="4230"/>
          <w:tab w:val="left" w:pos="4680"/>
        </w:tabs>
        <w:spacing w:before="120" w:after="120"/>
        <w:rPr>
          <w:rFonts w:asciiTheme="majorHAnsi" w:hAnsiTheme="majorHAnsi" w:cstheme="majorHAnsi"/>
          <w:b/>
          <w:sz w:val="36"/>
        </w:rPr>
      </w:pPr>
      <w:r w:rsidRPr="00FC7658">
        <w:rPr>
          <w:rFonts w:asciiTheme="majorHAnsi" w:hAnsiTheme="majorHAnsi" w:cstheme="majorHAnsi"/>
          <w:b/>
          <w:sz w:val="36"/>
        </w:rPr>
        <w:tab/>
      </w:r>
      <w:r w:rsidRPr="00FC7658">
        <w:rPr>
          <w:rFonts w:asciiTheme="majorHAnsi" w:hAnsiTheme="majorHAnsi" w:cstheme="majorHAnsi"/>
          <w:b/>
          <w:sz w:val="36"/>
        </w:rPr>
        <w:tab/>
      </w:r>
    </w:p>
    <w:p w:rsidR="00416744" w:rsidRPr="00FC7658" w:rsidRDefault="00416744" w:rsidP="00416744">
      <w:pPr>
        <w:jc w:val="center"/>
        <w:rPr>
          <w:rFonts w:asciiTheme="majorHAnsi" w:hAnsiTheme="majorHAnsi" w:cstheme="majorHAnsi"/>
          <w:b/>
        </w:rPr>
      </w:pPr>
    </w:p>
    <w:p w:rsidR="00416744" w:rsidRPr="00FC7658" w:rsidRDefault="00416744" w:rsidP="00416744">
      <w:pPr>
        <w:ind w:firstLine="720"/>
        <w:jc w:val="center"/>
        <w:rPr>
          <w:rFonts w:asciiTheme="majorHAnsi" w:hAnsiTheme="majorHAnsi" w:cstheme="majorHAnsi"/>
          <w:b/>
        </w:rPr>
      </w:pPr>
    </w:p>
    <w:p w:rsidR="00416744" w:rsidRPr="00FC7658" w:rsidRDefault="00416744" w:rsidP="00416744">
      <w:pPr>
        <w:ind w:firstLine="720"/>
        <w:jc w:val="center"/>
        <w:rPr>
          <w:rFonts w:asciiTheme="majorHAnsi" w:hAnsiTheme="majorHAnsi" w:cstheme="majorHAnsi"/>
          <w:b/>
        </w:rPr>
      </w:pPr>
    </w:p>
    <w:p w:rsidR="00416744" w:rsidRPr="00FC7658" w:rsidRDefault="00416744" w:rsidP="00416744">
      <w:pPr>
        <w:ind w:right="-270" w:firstLine="90"/>
        <w:jc w:val="center"/>
        <w:rPr>
          <w:rFonts w:asciiTheme="majorHAnsi" w:hAnsiTheme="majorHAnsi" w:cstheme="majorHAnsi"/>
          <w:b/>
        </w:rPr>
      </w:pPr>
    </w:p>
    <w:p w:rsidR="00416744" w:rsidRPr="00FC7658" w:rsidRDefault="00416744" w:rsidP="00416744">
      <w:pPr>
        <w:ind w:right="-270" w:firstLine="90"/>
        <w:jc w:val="center"/>
        <w:rPr>
          <w:rFonts w:asciiTheme="majorHAnsi" w:hAnsiTheme="majorHAnsi" w:cstheme="majorHAnsi"/>
          <w:b/>
        </w:rPr>
      </w:pPr>
    </w:p>
    <w:p w:rsidR="00416744" w:rsidRPr="00FC7658" w:rsidRDefault="00416744" w:rsidP="00416744">
      <w:pPr>
        <w:ind w:right="-270" w:firstLine="90"/>
        <w:jc w:val="center"/>
        <w:rPr>
          <w:rFonts w:asciiTheme="majorHAnsi" w:hAnsiTheme="majorHAnsi" w:cstheme="majorHAnsi"/>
          <w:b/>
        </w:rPr>
      </w:pPr>
    </w:p>
    <w:p w:rsidR="00416744" w:rsidRPr="00FC7658" w:rsidRDefault="00416744" w:rsidP="00416744">
      <w:pPr>
        <w:ind w:right="-270" w:firstLine="90"/>
        <w:jc w:val="center"/>
        <w:rPr>
          <w:rFonts w:asciiTheme="majorHAnsi" w:hAnsiTheme="majorHAnsi" w:cstheme="majorHAnsi"/>
          <w:b/>
        </w:rPr>
      </w:pPr>
    </w:p>
    <w:p w:rsidR="00416744" w:rsidRPr="00FC7658" w:rsidRDefault="00416744" w:rsidP="005F3838">
      <w:pPr>
        <w:ind w:right="-270"/>
        <w:rPr>
          <w:rFonts w:asciiTheme="majorHAnsi" w:hAnsiTheme="majorHAnsi" w:cstheme="majorHAnsi"/>
          <w:b/>
        </w:rPr>
      </w:pPr>
    </w:p>
    <w:p w:rsidR="00416744" w:rsidRPr="00FC7658" w:rsidRDefault="00416744" w:rsidP="00416744">
      <w:pPr>
        <w:jc w:val="center"/>
        <w:rPr>
          <w:rFonts w:asciiTheme="majorHAnsi" w:hAnsiTheme="majorHAnsi" w:cstheme="majorHAnsi"/>
          <w:b/>
        </w:rPr>
      </w:pPr>
      <w:r w:rsidRPr="00FC7658">
        <w:rPr>
          <w:rFonts w:asciiTheme="majorHAnsi" w:hAnsiTheme="majorHAnsi" w:cstheme="majorHAnsi"/>
          <w:b/>
        </w:rPr>
        <w:t>The National Institute of Health and Family Welfare</w:t>
      </w:r>
    </w:p>
    <w:p w:rsidR="00416744" w:rsidRPr="00FC7658" w:rsidRDefault="00416744" w:rsidP="00416744">
      <w:pPr>
        <w:jc w:val="center"/>
        <w:rPr>
          <w:rFonts w:asciiTheme="majorHAnsi" w:hAnsiTheme="majorHAnsi" w:cstheme="majorHAnsi"/>
          <w:b/>
        </w:rPr>
      </w:pPr>
      <w:r w:rsidRPr="00FC7658">
        <w:rPr>
          <w:rFonts w:asciiTheme="majorHAnsi" w:hAnsiTheme="majorHAnsi" w:cstheme="majorHAnsi"/>
          <w:b/>
        </w:rPr>
        <w:t>National Cold Chain and Vaccine Management Resource Centre</w:t>
      </w:r>
    </w:p>
    <w:p w:rsidR="00416744" w:rsidRPr="00FC7658" w:rsidRDefault="00416744" w:rsidP="00416744">
      <w:pPr>
        <w:jc w:val="center"/>
        <w:rPr>
          <w:rFonts w:asciiTheme="majorHAnsi" w:hAnsiTheme="majorHAnsi" w:cstheme="majorHAnsi"/>
          <w:b/>
        </w:rPr>
      </w:pPr>
      <w:r w:rsidRPr="00FC7658">
        <w:rPr>
          <w:rFonts w:asciiTheme="majorHAnsi" w:hAnsiTheme="majorHAnsi" w:cstheme="majorHAnsi"/>
          <w:b/>
        </w:rPr>
        <w:t>Ministry of Health and Family Welfare</w:t>
      </w:r>
    </w:p>
    <w:p w:rsidR="00416744" w:rsidRPr="00FC7658" w:rsidRDefault="00416744" w:rsidP="00416744">
      <w:pPr>
        <w:jc w:val="center"/>
        <w:rPr>
          <w:rFonts w:asciiTheme="majorHAnsi" w:hAnsiTheme="majorHAnsi" w:cstheme="majorHAnsi"/>
          <w:b/>
        </w:rPr>
      </w:pPr>
      <w:r w:rsidRPr="00FC7658">
        <w:rPr>
          <w:rFonts w:asciiTheme="majorHAnsi" w:hAnsiTheme="majorHAnsi" w:cstheme="majorHAnsi"/>
          <w:b/>
        </w:rPr>
        <w:t>Government of India</w:t>
      </w:r>
    </w:p>
    <w:p w:rsidR="00633CBF" w:rsidRPr="00FC7658" w:rsidRDefault="00633CBF" w:rsidP="00416744">
      <w:pPr>
        <w:jc w:val="center"/>
        <w:rPr>
          <w:rFonts w:asciiTheme="majorHAnsi" w:hAnsiTheme="majorHAnsi" w:cstheme="majorHAnsi"/>
          <w:b/>
        </w:rPr>
      </w:pPr>
    </w:p>
    <w:p w:rsidR="00416744" w:rsidRPr="00FC7658" w:rsidRDefault="008874B0" w:rsidP="004144DA">
      <w:pPr>
        <w:spacing w:after="160" w:line="259" w:lineRule="auto"/>
      </w:pPr>
      <w:r w:rsidRPr="00FC7658">
        <w:rPr>
          <w:rFonts w:asciiTheme="majorHAnsi" w:hAnsiTheme="majorHAnsi" w:cstheme="majorHAnsi"/>
          <w:b/>
        </w:rPr>
        <w:br w:type="page"/>
      </w:r>
      <w:r w:rsidR="00416744" w:rsidRPr="00FC7658">
        <w:lastRenderedPageBreak/>
        <w:t>OVERVIEW OF THE TRAINING</w:t>
      </w:r>
    </w:p>
    <w:p w:rsidR="00416744" w:rsidRPr="00FC7658" w:rsidRDefault="00416744" w:rsidP="00416744">
      <w:pPr>
        <w:spacing w:before="120" w:after="120" w:line="360" w:lineRule="auto"/>
        <w:jc w:val="both"/>
        <w:rPr>
          <w:rFonts w:asciiTheme="majorHAnsi" w:eastAsia="MS Mincho" w:hAnsiTheme="majorHAnsi" w:cstheme="majorHAnsi"/>
        </w:rPr>
      </w:pPr>
      <w:r w:rsidRPr="00FC7658">
        <w:rPr>
          <w:rFonts w:asciiTheme="majorHAnsi" w:hAnsiTheme="majorHAnsi" w:cstheme="majorHAnsi"/>
        </w:rPr>
        <w:t>Immunization forms an important component in any country’s public health program. Proper maintenance of cold chain and management of vaccines are crucial for ensuring an effective immunization supply chain (ISC) in the health system and realizing the objectives of immunization viz. prevention of vaccine preventable diseases (VPDs), reduction of morbidity and mortality due to VPDs, and consequent improvement in overall health.</w:t>
      </w:r>
    </w:p>
    <w:p w:rsidR="00416744" w:rsidRPr="00FC7658" w:rsidRDefault="00416744" w:rsidP="00416744">
      <w:pPr>
        <w:spacing w:before="120" w:after="120" w:line="360" w:lineRule="auto"/>
        <w:jc w:val="both"/>
        <w:rPr>
          <w:rFonts w:asciiTheme="majorHAnsi" w:hAnsiTheme="majorHAnsi" w:cstheme="majorHAnsi"/>
        </w:rPr>
      </w:pPr>
      <w:r w:rsidRPr="00FC7658">
        <w:rPr>
          <w:rFonts w:asciiTheme="majorHAnsi" w:hAnsiTheme="majorHAnsi" w:cstheme="majorHAnsi"/>
        </w:rPr>
        <w:t xml:space="preserve">India’s Universal Immunization Program (UIP) is one of the largest immunization programs in </w:t>
      </w:r>
      <w:r w:rsidR="004A1F45" w:rsidRPr="00FC7658">
        <w:rPr>
          <w:rFonts w:asciiTheme="majorHAnsi" w:hAnsiTheme="majorHAnsi" w:cstheme="majorHAnsi"/>
        </w:rPr>
        <w:t>the world, catering to nearly 26 million infants and 29</w:t>
      </w:r>
      <w:r w:rsidRPr="00FC7658">
        <w:rPr>
          <w:rFonts w:asciiTheme="majorHAnsi" w:hAnsiTheme="majorHAnsi" w:cstheme="majorHAnsi"/>
        </w:rPr>
        <w:t xml:space="preserve"> million pregnant women annually. To improve health systems and immunization outcomes in this country, many initiatives have been taken by the Ministry of Health and Family Welfare (MoHFW), Government of India. It has established the National Cold Chain and Vaccine Management Resource Centre (NCCVMRC), located at the National Institute of Health and Family Welfare (NIHFW), New Delhi, with a vision to facilitate establishment of a high-quality, effective and efficient ISC in India to ensure universal immunization coverage with safe and potent vaccines. </w:t>
      </w:r>
    </w:p>
    <w:p w:rsidR="00416744" w:rsidRPr="00FC7658" w:rsidRDefault="00416744" w:rsidP="00416744">
      <w:pPr>
        <w:spacing w:before="120" w:after="120" w:line="360" w:lineRule="auto"/>
        <w:jc w:val="both"/>
        <w:rPr>
          <w:rFonts w:asciiTheme="majorHAnsi" w:hAnsiTheme="majorHAnsi" w:cstheme="majorHAnsi"/>
        </w:rPr>
      </w:pPr>
      <w:r w:rsidRPr="00FC7658">
        <w:rPr>
          <w:rFonts w:asciiTheme="majorHAnsi" w:hAnsiTheme="majorHAnsi" w:cstheme="majorHAnsi"/>
        </w:rPr>
        <w:t>Over the years, several gaps have been identified in cold chain infrastructure, human resources, stock management and monitoring of cold chain and logistics in various countries. With this background, the NCCVMRC has developed a unique training – the Training on Vaccine &amp; Cold Chain Management (T-</w:t>
      </w:r>
      <w:proofErr w:type="spellStart"/>
      <w:r w:rsidRPr="00FC7658">
        <w:rPr>
          <w:rFonts w:asciiTheme="majorHAnsi" w:hAnsiTheme="majorHAnsi" w:cstheme="majorHAnsi"/>
        </w:rPr>
        <w:t>VaCC</w:t>
      </w:r>
      <w:proofErr w:type="spellEnd"/>
      <w:r w:rsidRPr="00FC7658">
        <w:rPr>
          <w:rFonts w:asciiTheme="majorHAnsi" w:hAnsiTheme="majorHAnsi" w:cstheme="majorHAnsi"/>
        </w:rPr>
        <w:t>) – to address the gaps of knowledge and skills in vaccine and cold chain management among immunization program managers at all levels of the ISC. It is a techno-managerial training to build capacity of immunization program managers so that they may perform their works related to vaccine and cold chain management more effectively and efficiently.</w:t>
      </w:r>
    </w:p>
    <w:p w:rsidR="00416744" w:rsidRPr="00FC7658" w:rsidRDefault="00416744" w:rsidP="00416744">
      <w:pPr>
        <w:spacing w:before="120" w:after="120" w:line="360" w:lineRule="auto"/>
        <w:jc w:val="both"/>
        <w:rPr>
          <w:rFonts w:asciiTheme="majorHAnsi" w:hAnsiTheme="majorHAnsi" w:cstheme="majorHAnsi"/>
        </w:rPr>
      </w:pPr>
      <w:r w:rsidRPr="00FC7658">
        <w:rPr>
          <w:rFonts w:asciiTheme="majorHAnsi" w:hAnsiTheme="majorHAnsi" w:cstheme="majorHAnsi"/>
        </w:rPr>
        <w:t>The T-</w:t>
      </w:r>
      <w:proofErr w:type="spellStart"/>
      <w:r w:rsidRPr="00FC7658">
        <w:rPr>
          <w:rFonts w:asciiTheme="majorHAnsi" w:hAnsiTheme="majorHAnsi" w:cstheme="majorHAnsi"/>
        </w:rPr>
        <w:t>VaCC</w:t>
      </w:r>
      <w:proofErr w:type="spellEnd"/>
      <w:r w:rsidRPr="00FC7658">
        <w:rPr>
          <w:rFonts w:asciiTheme="majorHAnsi" w:hAnsiTheme="majorHAnsi" w:cstheme="majorHAnsi"/>
        </w:rPr>
        <w:t xml:space="preserve"> has been developed by NCCVMRC as a progressive expansion of its earlier national training course namely the Effective Cold Chain and Vaccine Management Course (ECCVMC). The ECCVMC was piloted during April-May 2015 as a five-day training, followed by successful conduction of seven national batches of it, with imparting training to a total of 149 senior and mid-level immunization program managers in India. After the success of this training at national level, it was envisaged to take it to an international level too. Accordingly, the T-</w:t>
      </w:r>
      <w:proofErr w:type="spellStart"/>
      <w:r w:rsidRPr="00FC7658">
        <w:rPr>
          <w:rFonts w:asciiTheme="majorHAnsi" w:hAnsiTheme="majorHAnsi" w:cstheme="majorHAnsi"/>
        </w:rPr>
        <w:t>VaCC</w:t>
      </w:r>
      <w:proofErr w:type="spellEnd"/>
      <w:r w:rsidRPr="00FC7658">
        <w:rPr>
          <w:rFonts w:asciiTheme="majorHAnsi" w:hAnsiTheme="majorHAnsi" w:cstheme="majorHAnsi"/>
        </w:rPr>
        <w:t xml:space="preserve"> has been refined further and developed as a five-day</w:t>
      </w:r>
      <w:r w:rsidR="004A1F45" w:rsidRPr="00FC7658">
        <w:rPr>
          <w:rFonts w:asciiTheme="majorHAnsi" w:hAnsiTheme="majorHAnsi" w:cstheme="majorHAnsi"/>
        </w:rPr>
        <w:t xml:space="preserve"> (physical)</w:t>
      </w:r>
      <w:r w:rsidRPr="00FC7658">
        <w:rPr>
          <w:rFonts w:asciiTheme="majorHAnsi" w:hAnsiTheme="majorHAnsi" w:cstheme="majorHAnsi"/>
        </w:rPr>
        <w:t xml:space="preserve"> training for immunization program managers </w:t>
      </w:r>
      <w:r w:rsidRPr="00FC7658">
        <w:rPr>
          <w:rFonts w:asciiTheme="majorHAnsi" w:hAnsiTheme="majorHAnsi" w:cstheme="majorHAnsi"/>
        </w:rPr>
        <w:lastRenderedPageBreak/>
        <w:t>working in different countries and dealing with vaccine and cold chain management at various levels in the ISC system.</w:t>
      </w:r>
    </w:p>
    <w:p w:rsidR="00416744" w:rsidRPr="00FC7658" w:rsidRDefault="00416744" w:rsidP="00416744">
      <w:pPr>
        <w:spacing w:before="120" w:after="120" w:line="360" w:lineRule="auto"/>
        <w:jc w:val="both"/>
        <w:rPr>
          <w:rFonts w:asciiTheme="majorHAnsi" w:hAnsiTheme="majorHAnsi" w:cstheme="majorHAnsi"/>
        </w:rPr>
      </w:pPr>
      <w:r w:rsidRPr="00FC7658">
        <w:rPr>
          <w:rFonts w:asciiTheme="majorHAnsi" w:hAnsiTheme="majorHAnsi" w:cstheme="majorHAnsi"/>
        </w:rPr>
        <w:t>The first i</w:t>
      </w:r>
      <w:r w:rsidR="004A1F45" w:rsidRPr="00FC7658">
        <w:rPr>
          <w:rFonts w:asciiTheme="majorHAnsi" w:hAnsiTheme="majorHAnsi" w:cstheme="majorHAnsi"/>
        </w:rPr>
        <w:t>nternational batch of T-</w:t>
      </w:r>
      <w:proofErr w:type="spellStart"/>
      <w:r w:rsidR="004A1F45" w:rsidRPr="00FC7658">
        <w:rPr>
          <w:rFonts w:asciiTheme="majorHAnsi" w:hAnsiTheme="majorHAnsi" w:cstheme="majorHAnsi"/>
        </w:rPr>
        <w:t>VaCC</w:t>
      </w:r>
      <w:proofErr w:type="spellEnd"/>
      <w:r w:rsidR="004A1F45" w:rsidRPr="00FC7658">
        <w:rPr>
          <w:rFonts w:asciiTheme="majorHAnsi" w:hAnsiTheme="majorHAnsi" w:cstheme="majorHAnsi"/>
        </w:rPr>
        <w:t xml:space="preserve"> was conducted in</w:t>
      </w:r>
      <w:r w:rsidRPr="00FC7658">
        <w:rPr>
          <w:rFonts w:asciiTheme="majorHAnsi" w:hAnsiTheme="majorHAnsi" w:cstheme="majorHAnsi"/>
        </w:rPr>
        <w:t xml:space="preserve"> September 2018 at Kathmandu, Nepal. </w:t>
      </w:r>
      <w:r w:rsidR="004A1F45" w:rsidRPr="00FC7658">
        <w:rPr>
          <w:rFonts w:asciiTheme="majorHAnsi" w:hAnsiTheme="majorHAnsi" w:cstheme="majorHAnsi"/>
        </w:rPr>
        <w:t xml:space="preserve">Where NCCVMRC, NIHFW team trained officials from 8 countries and second batch was conducted in </w:t>
      </w:r>
      <w:r w:rsidR="006B1F17" w:rsidRPr="00FC7658">
        <w:rPr>
          <w:rFonts w:asciiTheme="majorHAnsi" w:hAnsiTheme="majorHAnsi" w:cstheme="majorHAnsi"/>
        </w:rPr>
        <w:t>July 2019 in Male, Maldives, where again participants from 8 countries were trained on the topic.</w:t>
      </w:r>
    </w:p>
    <w:p w:rsidR="006B1F17" w:rsidRPr="00FC7658" w:rsidRDefault="006B1F17" w:rsidP="00416744">
      <w:pPr>
        <w:spacing w:before="120" w:after="120" w:line="360" w:lineRule="auto"/>
        <w:jc w:val="both"/>
        <w:rPr>
          <w:rFonts w:asciiTheme="majorHAnsi" w:hAnsiTheme="majorHAnsi" w:cstheme="majorHAnsi"/>
        </w:rPr>
      </w:pPr>
      <w:r w:rsidRPr="00FC7658">
        <w:rPr>
          <w:rFonts w:asciiTheme="majorHAnsi" w:hAnsiTheme="majorHAnsi" w:cstheme="majorHAnsi"/>
        </w:rPr>
        <w:t>Considering the current COVID-19 pandemic scenario, same course</w:t>
      </w:r>
      <w:r w:rsidR="00D3163A" w:rsidRPr="00FC7658">
        <w:rPr>
          <w:rFonts w:asciiTheme="majorHAnsi" w:hAnsiTheme="majorHAnsi" w:cstheme="majorHAnsi"/>
        </w:rPr>
        <w:t xml:space="preserve"> was transformed into an online mode, through which more than 50 participants from India have been trained.</w:t>
      </w:r>
      <w:r w:rsidRPr="00FC7658">
        <w:rPr>
          <w:rFonts w:asciiTheme="majorHAnsi" w:hAnsiTheme="majorHAnsi" w:cstheme="majorHAnsi"/>
        </w:rPr>
        <w:t xml:space="preserve"> </w:t>
      </w:r>
      <w:r w:rsidR="00D3163A" w:rsidRPr="00FC7658">
        <w:rPr>
          <w:rFonts w:asciiTheme="majorHAnsi" w:hAnsiTheme="majorHAnsi" w:cstheme="majorHAnsi"/>
        </w:rPr>
        <w:t xml:space="preserve">For the first time, it </w:t>
      </w:r>
      <w:r w:rsidRPr="00FC7658">
        <w:rPr>
          <w:rFonts w:asciiTheme="majorHAnsi" w:hAnsiTheme="majorHAnsi" w:cstheme="majorHAnsi"/>
        </w:rPr>
        <w:t>is being proposed</w:t>
      </w:r>
      <w:r w:rsidR="00D3163A" w:rsidRPr="00FC7658">
        <w:rPr>
          <w:rFonts w:asciiTheme="majorHAnsi" w:hAnsiTheme="majorHAnsi" w:cstheme="majorHAnsi"/>
        </w:rPr>
        <w:t xml:space="preserve"> for International audience</w:t>
      </w:r>
      <w:r w:rsidRPr="00FC7658">
        <w:rPr>
          <w:rFonts w:asciiTheme="majorHAnsi" w:hAnsiTheme="majorHAnsi" w:cstheme="majorHAnsi"/>
        </w:rPr>
        <w:t xml:space="preserve"> in an online mode, in </w:t>
      </w:r>
      <w:proofErr w:type="gramStart"/>
      <w:r w:rsidRPr="00FC7658">
        <w:rPr>
          <w:rFonts w:asciiTheme="majorHAnsi" w:hAnsiTheme="majorHAnsi" w:cstheme="majorHAnsi"/>
        </w:rPr>
        <w:t>an</w:t>
      </w:r>
      <w:proofErr w:type="gramEnd"/>
      <w:r w:rsidRPr="00FC7658">
        <w:rPr>
          <w:rFonts w:asciiTheme="majorHAnsi" w:hAnsiTheme="majorHAnsi" w:cstheme="majorHAnsi"/>
        </w:rPr>
        <w:t xml:space="preserve"> </w:t>
      </w:r>
      <w:r w:rsidR="0096766B" w:rsidRPr="00FC7658">
        <w:rPr>
          <w:rFonts w:asciiTheme="majorHAnsi" w:hAnsiTheme="majorHAnsi" w:cstheme="majorHAnsi"/>
        </w:rPr>
        <w:t>5</w:t>
      </w:r>
      <w:r w:rsidRPr="00FC7658">
        <w:rPr>
          <w:rFonts w:asciiTheme="majorHAnsi" w:hAnsiTheme="majorHAnsi" w:cstheme="majorHAnsi"/>
        </w:rPr>
        <w:t xml:space="preserve">-Day </w:t>
      </w:r>
      <w:r w:rsidR="00D3163A" w:rsidRPr="00FC7658">
        <w:rPr>
          <w:rFonts w:asciiTheme="majorHAnsi" w:hAnsiTheme="majorHAnsi" w:cstheme="majorHAnsi"/>
        </w:rPr>
        <w:t>training design</w:t>
      </w:r>
      <w:r w:rsidRPr="00FC7658">
        <w:rPr>
          <w:rFonts w:asciiTheme="majorHAnsi" w:hAnsiTheme="majorHAnsi" w:cstheme="majorHAnsi"/>
        </w:rPr>
        <w:t>.</w:t>
      </w:r>
    </w:p>
    <w:p w:rsidR="00B37146" w:rsidRPr="00FC7658" w:rsidRDefault="007F736C" w:rsidP="007F736C">
      <w:pPr>
        <w:pStyle w:val="Heading1"/>
        <w:rPr>
          <w:rFonts w:cstheme="majorHAnsi"/>
          <w:b/>
          <w:color w:val="auto"/>
          <w:szCs w:val="24"/>
        </w:rPr>
      </w:pPr>
      <w:r w:rsidRPr="00FC7658">
        <w:rPr>
          <w:rFonts w:cstheme="majorHAnsi"/>
          <w:b/>
          <w:color w:val="auto"/>
          <w:szCs w:val="24"/>
        </w:rPr>
        <w:t>ABOUT NIHFW</w:t>
      </w:r>
    </w:p>
    <w:p w:rsidR="00B37146" w:rsidRPr="00FC7658" w:rsidRDefault="00B37146" w:rsidP="00B37146">
      <w:pPr>
        <w:autoSpaceDE w:val="0"/>
        <w:autoSpaceDN w:val="0"/>
        <w:adjustRightInd w:val="0"/>
        <w:spacing w:after="240" w:line="276" w:lineRule="auto"/>
        <w:jc w:val="both"/>
        <w:rPr>
          <w:rFonts w:asciiTheme="majorHAnsi" w:hAnsiTheme="majorHAnsi" w:cstheme="majorHAnsi"/>
          <w:noProof/>
        </w:rPr>
      </w:pPr>
      <w:r w:rsidRPr="00FC7658">
        <w:rPr>
          <w:rFonts w:asciiTheme="majorHAnsi" w:hAnsiTheme="majorHAnsi" w:cstheme="majorHAnsi"/>
          <w:noProof/>
        </w:rPr>
        <w:drawing>
          <wp:anchor distT="0" distB="0" distL="114300" distR="114300" simplePos="0" relativeHeight="251661312" behindDoc="1" locked="0" layoutInCell="1" allowOverlap="1" wp14:anchorId="39F53F09" wp14:editId="10801669">
            <wp:simplePos x="0" y="0"/>
            <wp:positionH relativeFrom="margin">
              <wp:posOffset>2105025</wp:posOffset>
            </wp:positionH>
            <wp:positionV relativeFrom="paragraph">
              <wp:posOffset>10795</wp:posOffset>
            </wp:positionV>
            <wp:extent cx="4067175" cy="244792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67175" cy="2447925"/>
                    </a:xfrm>
                    <a:prstGeom prst="rect">
                      <a:avLst/>
                    </a:prstGeom>
                  </pic:spPr>
                </pic:pic>
              </a:graphicData>
            </a:graphic>
            <wp14:sizeRelH relativeFrom="margin">
              <wp14:pctWidth>0</wp14:pctWidth>
            </wp14:sizeRelH>
            <wp14:sizeRelV relativeFrom="margin">
              <wp14:pctHeight>0</wp14:pctHeight>
            </wp14:sizeRelV>
          </wp:anchor>
        </w:drawing>
      </w:r>
      <w:r w:rsidRPr="00FC7658">
        <w:rPr>
          <w:rFonts w:asciiTheme="majorHAnsi" w:hAnsiTheme="majorHAnsi" w:cstheme="majorHAnsi"/>
          <w:shd w:val="clear" w:color="auto" w:fill="FFFFFF"/>
        </w:rPr>
        <w:t>The National Institute of Health and Family Welfare (NIHFW) played a vital role in COVID-19 vaccine introduction in India The NIHFW, an autonomous organization, under the Ministry of Health and Family Welfare, Government of India, acts as an apex technical institute as well as a think tank for the promotion of health and family welfare programs in the country. Its mission is to act as a, catalyst &amp; innovator for management of public health and related health &amp; family welfare programs by pursuing multiple functions of Education &amp; Training, Research &amp; Evaluation, Consultancy &amp; Advisory services as well as provision of specialized services through inter-disciplinary teams.</w:t>
      </w:r>
      <w:r w:rsidRPr="00FC7658">
        <w:rPr>
          <w:rFonts w:asciiTheme="majorHAnsi" w:hAnsiTheme="majorHAnsi" w:cstheme="majorHAnsi"/>
          <w:noProof/>
        </w:rPr>
        <w:t xml:space="preserve"> NIHFW is a pioneer for in-service training.</w:t>
      </w:r>
    </w:p>
    <w:p w:rsidR="00B37146" w:rsidRPr="00FC7658" w:rsidRDefault="00B37146" w:rsidP="00B37146">
      <w:pPr>
        <w:spacing w:after="240" w:line="276" w:lineRule="auto"/>
        <w:jc w:val="both"/>
        <w:rPr>
          <w:rFonts w:asciiTheme="majorHAnsi" w:hAnsiTheme="majorHAnsi" w:cstheme="majorHAnsi"/>
          <w:shd w:val="clear" w:color="auto" w:fill="FFFFFF"/>
        </w:rPr>
      </w:pPr>
      <w:r w:rsidRPr="00FC7658">
        <w:rPr>
          <w:rFonts w:asciiTheme="majorHAnsi" w:hAnsiTheme="majorHAnsi" w:cstheme="majorHAnsi"/>
          <w:shd w:val="clear" w:color="auto" w:fill="FFFFFF"/>
        </w:rPr>
        <w:t>Being a leader on education and trainin</w:t>
      </w:r>
      <w:r w:rsidR="006B1F17" w:rsidRPr="00FC7658">
        <w:rPr>
          <w:rFonts w:asciiTheme="majorHAnsi" w:hAnsiTheme="majorHAnsi" w:cstheme="majorHAnsi"/>
          <w:shd w:val="clear" w:color="auto" w:fill="FFFFFF"/>
        </w:rPr>
        <w:t>g front in country, NIHFW plays</w:t>
      </w:r>
      <w:r w:rsidRPr="00FC7658">
        <w:rPr>
          <w:rFonts w:asciiTheme="majorHAnsi" w:hAnsiTheme="majorHAnsi" w:cstheme="majorHAnsi"/>
          <w:shd w:val="clear" w:color="auto" w:fill="FFFFFF"/>
        </w:rPr>
        <w:t xml:space="preserve"> a vital role in </w:t>
      </w:r>
      <w:r w:rsidR="006B1F17" w:rsidRPr="00FC7658">
        <w:rPr>
          <w:rFonts w:asciiTheme="majorHAnsi" w:hAnsiTheme="majorHAnsi" w:cstheme="majorHAnsi"/>
          <w:shd w:val="clear" w:color="auto" w:fill="FFFFFF"/>
        </w:rPr>
        <w:t>Immunization Cold Chain Management via</w:t>
      </w:r>
      <w:r w:rsidRPr="00FC7658">
        <w:rPr>
          <w:rFonts w:asciiTheme="majorHAnsi" w:hAnsiTheme="majorHAnsi" w:cstheme="majorHAnsi"/>
          <w:shd w:val="clear" w:color="auto" w:fill="FFFFFF"/>
        </w:rPr>
        <w:t xml:space="preserve"> a National Center on Immunization Supply Chain, i.e. National Cold Chain and Vaccine Management Resource Center (NCCVMRC), which is situated </w:t>
      </w:r>
      <w:r w:rsidR="006B1F17" w:rsidRPr="00FC7658">
        <w:rPr>
          <w:rFonts w:asciiTheme="majorHAnsi" w:hAnsiTheme="majorHAnsi" w:cstheme="majorHAnsi"/>
          <w:shd w:val="clear" w:color="auto" w:fill="FFFFFF"/>
        </w:rPr>
        <w:t>and completely guided by NIHFW.</w:t>
      </w:r>
    </w:p>
    <w:p w:rsidR="00352191" w:rsidRPr="00FC7658" w:rsidRDefault="00352191">
      <w:pPr>
        <w:spacing w:after="160" w:line="259" w:lineRule="auto"/>
        <w:rPr>
          <w:rFonts w:asciiTheme="majorHAnsi" w:eastAsiaTheme="majorEastAsia" w:hAnsiTheme="majorHAnsi" w:cstheme="majorHAnsi"/>
          <w:b/>
          <w:sz w:val="32"/>
        </w:rPr>
      </w:pPr>
      <w:r w:rsidRPr="00FC7658">
        <w:rPr>
          <w:rFonts w:cstheme="majorHAnsi"/>
          <w:b/>
        </w:rPr>
        <w:br w:type="page"/>
      </w:r>
    </w:p>
    <w:p w:rsidR="00DF4820" w:rsidRPr="00FC7658" w:rsidRDefault="007F736C" w:rsidP="00352191">
      <w:pPr>
        <w:pStyle w:val="Heading1"/>
        <w:rPr>
          <w:b/>
          <w:color w:val="auto"/>
        </w:rPr>
      </w:pPr>
      <w:r w:rsidRPr="00FC7658">
        <w:rPr>
          <w:b/>
          <w:color w:val="auto"/>
        </w:rPr>
        <w:lastRenderedPageBreak/>
        <w:t>ABOUT NCCVMRC</w:t>
      </w:r>
    </w:p>
    <w:p w:rsidR="00DF4820" w:rsidRPr="00FC7658" w:rsidRDefault="008819ED" w:rsidP="008B2449">
      <w:pPr>
        <w:autoSpaceDE w:val="0"/>
        <w:autoSpaceDN w:val="0"/>
        <w:adjustRightInd w:val="0"/>
        <w:spacing w:after="240" w:line="276" w:lineRule="auto"/>
        <w:jc w:val="both"/>
        <w:rPr>
          <w:rFonts w:asciiTheme="majorHAnsi" w:hAnsiTheme="majorHAnsi" w:cstheme="majorHAnsi"/>
        </w:rPr>
      </w:pPr>
      <w:r w:rsidRPr="00FC7658">
        <w:rPr>
          <w:rFonts w:asciiTheme="majorHAnsi" w:hAnsiTheme="majorHAnsi" w:cstheme="majorHAnsi"/>
          <w:noProof/>
          <w:shd w:val="clear" w:color="auto" w:fill="FFFFFF"/>
        </w:rPr>
        <w:drawing>
          <wp:anchor distT="0" distB="0" distL="114300" distR="114300" simplePos="0" relativeHeight="251662336" behindDoc="0" locked="0" layoutInCell="1" allowOverlap="1" wp14:anchorId="1CE88154" wp14:editId="1EB63C6C">
            <wp:simplePos x="0" y="0"/>
            <wp:positionH relativeFrom="column">
              <wp:posOffset>3276600</wp:posOffset>
            </wp:positionH>
            <wp:positionV relativeFrom="paragraph">
              <wp:posOffset>66040</wp:posOffset>
            </wp:positionV>
            <wp:extent cx="3114675" cy="24237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VMRC.png"/>
                    <pic:cNvPicPr/>
                  </pic:nvPicPr>
                  <pic:blipFill>
                    <a:blip r:embed="rId10">
                      <a:extLst>
                        <a:ext uri="{28A0092B-C50C-407E-A947-70E740481C1C}">
                          <a14:useLocalDpi xmlns:a14="http://schemas.microsoft.com/office/drawing/2010/main" val="0"/>
                        </a:ext>
                      </a:extLst>
                    </a:blip>
                    <a:stretch>
                      <a:fillRect/>
                    </a:stretch>
                  </pic:blipFill>
                  <pic:spPr>
                    <a:xfrm>
                      <a:off x="0" y="0"/>
                      <a:ext cx="3114675" cy="2423795"/>
                    </a:xfrm>
                    <a:prstGeom prst="rect">
                      <a:avLst/>
                    </a:prstGeom>
                  </pic:spPr>
                </pic:pic>
              </a:graphicData>
            </a:graphic>
            <wp14:sizeRelH relativeFrom="margin">
              <wp14:pctWidth>0</wp14:pctWidth>
            </wp14:sizeRelH>
            <wp14:sizeRelV relativeFrom="margin">
              <wp14:pctHeight>0</wp14:pctHeight>
            </wp14:sizeRelV>
          </wp:anchor>
        </w:drawing>
      </w:r>
      <w:r w:rsidR="00DF4820" w:rsidRPr="00FC7658">
        <w:rPr>
          <w:rFonts w:asciiTheme="majorHAnsi" w:hAnsiTheme="majorHAnsi" w:cstheme="majorHAnsi"/>
          <w:shd w:val="clear" w:color="auto" w:fill="FFFFFF"/>
        </w:rPr>
        <w:t xml:space="preserve">The National Cold Chain and Vaccine Management Resource Centre (NCCVMRC), placed in the National Institute of Health &amp; Family Welfare (NIHFW) New Delhi, is the apex body of MoHFW, </w:t>
      </w:r>
      <w:proofErr w:type="spellStart"/>
      <w:r w:rsidR="00DF4820" w:rsidRPr="00FC7658">
        <w:rPr>
          <w:rFonts w:asciiTheme="majorHAnsi" w:hAnsiTheme="majorHAnsi" w:cstheme="majorHAnsi"/>
          <w:shd w:val="clear" w:color="auto" w:fill="FFFFFF"/>
        </w:rPr>
        <w:t>GoI</w:t>
      </w:r>
      <w:proofErr w:type="spellEnd"/>
      <w:r w:rsidR="00DF4820" w:rsidRPr="00FC7658">
        <w:rPr>
          <w:rFonts w:asciiTheme="majorHAnsi" w:hAnsiTheme="majorHAnsi" w:cstheme="majorHAnsi"/>
          <w:shd w:val="clear" w:color="auto" w:fill="FFFFFF"/>
        </w:rPr>
        <w:t xml:space="preserve"> to provide technical support on country’s immunization supply chain. The </w:t>
      </w:r>
      <w:proofErr w:type="spellStart"/>
      <w:r w:rsidR="00DF4820" w:rsidRPr="00FC7658">
        <w:rPr>
          <w:rFonts w:asciiTheme="majorHAnsi" w:hAnsiTheme="majorHAnsi" w:cstheme="majorHAnsi"/>
          <w:shd w:val="clear" w:color="auto" w:fill="FFFFFF"/>
        </w:rPr>
        <w:t>centre</w:t>
      </w:r>
      <w:proofErr w:type="spellEnd"/>
      <w:r w:rsidR="00DF4820" w:rsidRPr="00FC7658">
        <w:rPr>
          <w:rFonts w:asciiTheme="majorHAnsi" w:hAnsiTheme="majorHAnsi" w:cstheme="majorHAnsi"/>
          <w:shd w:val="clear" w:color="auto" w:fill="FFFFFF"/>
        </w:rPr>
        <w:t xml:space="preserve"> was established in 2013 as a joint initiative of the Ministry of Health &amp; Family Welfare (MoHFW), NIHFW and UNICEF. It was formally inaugurated by the Union Minister of Health &amp; Family Welfare, Government of India, on 9th March 2015.</w:t>
      </w:r>
    </w:p>
    <w:p w:rsidR="00DF4820" w:rsidRPr="00FC7658" w:rsidRDefault="00DF4820" w:rsidP="008B2449">
      <w:pPr>
        <w:autoSpaceDE w:val="0"/>
        <w:autoSpaceDN w:val="0"/>
        <w:adjustRightInd w:val="0"/>
        <w:spacing w:after="240" w:line="276" w:lineRule="auto"/>
        <w:jc w:val="both"/>
        <w:rPr>
          <w:rFonts w:asciiTheme="majorHAnsi" w:hAnsiTheme="majorHAnsi" w:cstheme="majorHAnsi"/>
          <w:shd w:val="clear" w:color="auto" w:fill="FFFFFF"/>
        </w:rPr>
      </w:pPr>
      <w:r w:rsidRPr="00FC7658">
        <w:rPr>
          <w:rFonts w:asciiTheme="majorHAnsi" w:hAnsiTheme="majorHAnsi" w:cstheme="majorHAnsi"/>
          <w:shd w:val="clear" w:color="auto" w:fill="FFFFFF"/>
        </w:rPr>
        <w:t>NCCVMRC is placed under the direct supervision of the Nodal Officer (Immunization), NIHFW with functional oversight provided by the Immunization Division, Ministry of Health &amp; Family Welfare. UNICEF also provides technical support to the institute for GAVI-HSS activities.</w:t>
      </w:r>
    </w:p>
    <w:p w:rsidR="00DF4820" w:rsidRPr="00FC7658" w:rsidRDefault="00DF4820" w:rsidP="008B2449">
      <w:pPr>
        <w:autoSpaceDE w:val="0"/>
        <w:autoSpaceDN w:val="0"/>
        <w:adjustRightInd w:val="0"/>
        <w:spacing w:after="240" w:line="276" w:lineRule="auto"/>
        <w:jc w:val="both"/>
        <w:rPr>
          <w:rFonts w:asciiTheme="majorHAnsi" w:hAnsiTheme="majorHAnsi" w:cstheme="majorHAnsi"/>
          <w:shd w:val="clear" w:color="auto" w:fill="FFFFFF"/>
        </w:rPr>
      </w:pPr>
      <w:r w:rsidRPr="00FC7658">
        <w:rPr>
          <w:rFonts w:asciiTheme="majorHAnsi" w:hAnsiTheme="majorHAnsi" w:cstheme="majorHAnsi"/>
          <w:shd w:val="clear" w:color="auto" w:fill="FFFFFF"/>
        </w:rPr>
        <w:t xml:space="preserve">NCCVMRC is the nodal resource </w:t>
      </w:r>
      <w:proofErr w:type="spellStart"/>
      <w:r w:rsidRPr="00FC7658">
        <w:rPr>
          <w:rFonts w:asciiTheme="majorHAnsi" w:hAnsiTheme="majorHAnsi" w:cstheme="majorHAnsi"/>
          <w:shd w:val="clear" w:color="auto" w:fill="FFFFFF"/>
        </w:rPr>
        <w:t>centre</w:t>
      </w:r>
      <w:proofErr w:type="spellEnd"/>
      <w:r w:rsidRPr="00FC7658">
        <w:rPr>
          <w:rFonts w:asciiTheme="majorHAnsi" w:hAnsiTheme="majorHAnsi" w:cstheme="majorHAnsi"/>
          <w:shd w:val="clear" w:color="auto" w:fill="FFFFFF"/>
        </w:rPr>
        <w:t xml:space="preserve"> for all immunization supply chain related research, training, planning and policy initiatives in India. The </w:t>
      </w:r>
      <w:proofErr w:type="spellStart"/>
      <w:r w:rsidRPr="00FC7658">
        <w:rPr>
          <w:rFonts w:asciiTheme="majorHAnsi" w:hAnsiTheme="majorHAnsi" w:cstheme="majorHAnsi"/>
          <w:shd w:val="clear" w:color="auto" w:fill="FFFFFF"/>
        </w:rPr>
        <w:t>centre</w:t>
      </w:r>
      <w:proofErr w:type="spellEnd"/>
      <w:r w:rsidRPr="00FC7658">
        <w:rPr>
          <w:rFonts w:asciiTheme="majorHAnsi" w:hAnsiTheme="majorHAnsi" w:cstheme="majorHAnsi"/>
          <w:shd w:val="clear" w:color="auto" w:fill="FFFFFF"/>
        </w:rPr>
        <w:t xml:space="preserve"> has also been designated as the secretariat for effective vaccine management (EVM) assessment, and for cold chain equipment specifications. The institute undertakes capacity building of program managers and policy makers at all levels. NCCVMRC also coordinates with the National Cold Chain Resource Centre (NCCRC), Pune to conduct training for Cold Chain Technicians (CCTs).</w:t>
      </w:r>
    </w:p>
    <w:p w:rsidR="00B37146" w:rsidRPr="00FC7658" w:rsidRDefault="007F736C" w:rsidP="00352191">
      <w:pPr>
        <w:pStyle w:val="Heading1"/>
        <w:rPr>
          <w:b/>
          <w:color w:val="auto"/>
        </w:rPr>
      </w:pPr>
      <w:bookmarkStart w:id="0" w:name="_Toc64298872"/>
      <w:r w:rsidRPr="00FC7658">
        <w:rPr>
          <w:b/>
          <w:color w:val="auto"/>
        </w:rPr>
        <w:t>VIRTUAL TRAINING EXPERIENCE OF NIHFW</w:t>
      </w:r>
      <w:bookmarkEnd w:id="0"/>
      <w:r w:rsidRPr="00FC7658">
        <w:rPr>
          <w:b/>
          <w:color w:val="auto"/>
        </w:rPr>
        <w:t xml:space="preserve">, NCCVMRC </w:t>
      </w:r>
    </w:p>
    <w:p w:rsidR="00352191" w:rsidRPr="00FC7658" w:rsidRDefault="00352191" w:rsidP="00352191"/>
    <w:p w:rsidR="00B37146" w:rsidRPr="00FC7658" w:rsidRDefault="00B37146" w:rsidP="008B2449">
      <w:pPr>
        <w:autoSpaceDE w:val="0"/>
        <w:autoSpaceDN w:val="0"/>
        <w:adjustRightInd w:val="0"/>
        <w:spacing w:after="240" w:line="276" w:lineRule="auto"/>
        <w:jc w:val="both"/>
        <w:rPr>
          <w:rFonts w:asciiTheme="majorHAnsi" w:hAnsiTheme="majorHAnsi" w:cstheme="majorHAnsi"/>
          <w:shd w:val="clear" w:color="auto" w:fill="FFFFFF"/>
        </w:rPr>
      </w:pPr>
      <w:r w:rsidRPr="00FC7658">
        <w:rPr>
          <w:rFonts w:asciiTheme="majorHAnsi" w:hAnsiTheme="majorHAnsi" w:cstheme="majorHAnsi"/>
          <w:shd w:val="clear" w:color="auto" w:fill="FFFFFF"/>
        </w:rPr>
        <w:t>NIHFW is a major stakeholder of capacity building activities for public health in India. Apart from the routine activities conducted by Distance Learning cell, NIHFW has conducted numerous virtual training courses since the ongoing pandemic, examples of some</w:t>
      </w:r>
      <w:r w:rsidR="00287927" w:rsidRPr="00FC7658">
        <w:rPr>
          <w:rFonts w:asciiTheme="majorHAnsi" w:hAnsiTheme="majorHAnsi" w:cstheme="majorHAnsi"/>
          <w:shd w:val="clear" w:color="auto" w:fill="FFFFFF"/>
        </w:rPr>
        <w:t xml:space="preserve"> </w:t>
      </w:r>
      <w:r w:rsidRPr="00FC7658">
        <w:rPr>
          <w:rFonts w:asciiTheme="majorHAnsi" w:hAnsiTheme="majorHAnsi" w:cstheme="majorHAnsi"/>
          <w:shd w:val="clear" w:color="auto" w:fill="FFFFFF"/>
        </w:rPr>
        <w:t xml:space="preserve">are as follows: </w:t>
      </w:r>
    </w:p>
    <w:p w:rsidR="00B37146" w:rsidRPr="00FC7658" w:rsidRDefault="00B37146" w:rsidP="00B37146">
      <w:pPr>
        <w:pStyle w:val="ListParagraph"/>
        <w:numPr>
          <w:ilvl w:val="0"/>
          <w:numId w:val="7"/>
        </w:numPr>
        <w:autoSpaceDE w:val="0"/>
        <w:autoSpaceDN w:val="0"/>
        <w:adjustRightInd w:val="0"/>
        <w:spacing w:after="240"/>
        <w:jc w:val="both"/>
        <w:rPr>
          <w:rFonts w:asciiTheme="majorHAnsi" w:hAnsiTheme="majorHAnsi" w:cstheme="majorHAnsi"/>
          <w:sz w:val="24"/>
          <w:szCs w:val="24"/>
        </w:rPr>
      </w:pPr>
      <w:r w:rsidRPr="00FC7658">
        <w:rPr>
          <w:rFonts w:asciiTheme="majorHAnsi" w:hAnsiTheme="majorHAnsi" w:cstheme="majorHAnsi"/>
          <w:sz w:val="24"/>
          <w:szCs w:val="24"/>
        </w:rPr>
        <w:t xml:space="preserve">National batch on Immunization Cold Chain Management for District and State level program officers, </w:t>
      </w:r>
    </w:p>
    <w:p w:rsidR="00B37146" w:rsidRPr="00FC7658" w:rsidRDefault="00D3163A" w:rsidP="00B37146">
      <w:pPr>
        <w:pStyle w:val="ListParagraph"/>
        <w:numPr>
          <w:ilvl w:val="0"/>
          <w:numId w:val="7"/>
        </w:numPr>
        <w:autoSpaceDE w:val="0"/>
        <w:autoSpaceDN w:val="0"/>
        <w:adjustRightInd w:val="0"/>
        <w:spacing w:after="240"/>
        <w:jc w:val="both"/>
        <w:rPr>
          <w:rFonts w:asciiTheme="majorHAnsi" w:hAnsiTheme="majorHAnsi" w:cstheme="majorHAnsi"/>
          <w:sz w:val="24"/>
          <w:szCs w:val="24"/>
        </w:rPr>
      </w:pPr>
      <w:r w:rsidRPr="00FC7658">
        <w:rPr>
          <w:rFonts w:asciiTheme="majorHAnsi" w:hAnsiTheme="majorHAnsi" w:cstheme="majorHAnsi"/>
          <w:sz w:val="24"/>
          <w:szCs w:val="24"/>
        </w:rPr>
        <w:t xml:space="preserve">Skill Based Training </w:t>
      </w:r>
      <w:r w:rsidR="00B37146" w:rsidRPr="00FC7658">
        <w:rPr>
          <w:rFonts w:asciiTheme="majorHAnsi" w:hAnsiTheme="majorHAnsi" w:cstheme="majorHAnsi"/>
          <w:sz w:val="24"/>
          <w:szCs w:val="24"/>
        </w:rPr>
        <w:t xml:space="preserve">of Cold Chain Technicians </w:t>
      </w:r>
      <w:r w:rsidRPr="00FC7658">
        <w:rPr>
          <w:rFonts w:asciiTheme="majorHAnsi" w:hAnsiTheme="majorHAnsi" w:cstheme="majorHAnsi"/>
          <w:sz w:val="24"/>
          <w:szCs w:val="24"/>
        </w:rPr>
        <w:t>for repair and maint</w:t>
      </w:r>
      <w:r w:rsidR="004144DA" w:rsidRPr="00FC7658">
        <w:rPr>
          <w:rFonts w:asciiTheme="majorHAnsi" w:hAnsiTheme="majorHAnsi" w:cstheme="majorHAnsi"/>
          <w:sz w:val="24"/>
          <w:szCs w:val="24"/>
        </w:rPr>
        <w:t>enance of COLD chain equipment</w:t>
      </w:r>
    </w:p>
    <w:p w:rsidR="00B37146" w:rsidRPr="00FC7658" w:rsidRDefault="00B37146" w:rsidP="00B37146">
      <w:pPr>
        <w:pStyle w:val="ListParagraph"/>
        <w:numPr>
          <w:ilvl w:val="0"/>
          <w:numId w:val="7"/>
        </w:numPr>
        <w:autoSpaceDE w:val="0"/>
        <w:autoSpaceDN w:val="0"/>
        <w:adjustRightInd w:val="0"/>
        <w:spacing w:after="240"/>
        <w:jc w:val="both"/>
        <w:rPr>
          <w:rFonts w:asciiTheme="majorHAnsi" w:hAnsiTheme="majorHAnsi" w:cstheme="majorHAnsi"/>
          <w:sz w:val="24"/>
          <w:szCs w:val="24"/>
        </w:rPr>
      </w:pPr>
      <w:r w:rsidRPr="00FC7658">
        <w:rPr>
          <w:rFonts w:asciiTheme="majorHAnsi" w:hAnsiTheme="majorHAnsi" w:cstheme="majorHAnsi"/>
          <w:sz w:val="24"/>
          <w:szCs w:val="24"/>
        </w:rPr>
        <w:t xml:space="preserve">Training of data managers in country for MIS, </w:t>
      </w:r>
    </w:p>
    <w:p w:rsidR="00B37146" w:rsidRPr="00FC7658" w:rsidRDefault="00D3163A" w:rsidP="00B37146">
      <w:pPr>
        <w:pStyle w:val="ListParagraph"/>
        <w:numPr>
          <w:ilvl w:val="0"/>
          <w:numId w:val="7"/>
        </w:numPr>
        <w:autoSpaceDE w:val="0"/>
        <w:autoSpaceDN w:val="0"/>
        <w:adjustRightInd w:val="0"/>
        <w:spacing w:after="240"/>
        <w:jc w:val="both"/>
        <w:rPr>
          <w:rFonts w:asciiTheme="majorHAnsi" w:hAnsiTheme="majorHAnsi" w:cstheme="majorHAnsi"/>
          <w:sz w:val="24"/>
          <w:szCs w:val="24"/>
        </w:rPr>
      </w:pPr>
      <w:r w:rsidRPr="00FC7658">
        <w:rPr>
          <w:rFonts w:asciiTheme="majorHAnsi" w:hAnsiTheme="majorHAnsi" w:cstheme="majorHAnsi"/>
          <w:sz w:val="24"/>
          <w:szCs w:val="24"/>
        </w:rPr>
        <w:t>Trainings</w:t>
      </w:r>
      <w:r w:rsidR="00B37146" w:rsidRPr="00FC7658">
        <w:rPr>
          <w:rFonts w:asciiTheme="majorHAnsi" w:hAnsiTheme="majorHAnsi" w:cstheme="majorHAnsi"/>
          <w:sz w:val="24"/>
          <w:szCs w:val="24"/>
        </w:rPr>
        <w:t xml:space="preserve"> on </w:t>
      </w:r>
      <w:r w:rsidRPr="00FC7658">
        <w:rPr>
          <w:rFonts w:asciiTheme="majorHAnsi" w:hAnsiTheme="majorHAnsi" w:cstheme="majorHAnsi"/>
          <w:sz w:val="24"/>
          <w:szCs w:val="24"/>
        </w:rPr>
        <w:t>Epidemiology</w:t>
      </w:r>
      <w:r w:rsidR="00B37146" w:rsidRPr="00FC7658">
        <w:rPr>
          <w:rFonts w:asciiTheme="majorHAnsi" w:hAnsiTheme="majorHAnsi" w:cstheme="majorHAnsi"/>
          <w:sz w:val="24"/>
          <w:szCs w:val="24"/>
        </w:rPr>
        <w:t xml:space="preserve"> and </w:t>
      </w:r>
      <w:r w:rsidRPr="00FC7658">
        <w:rPr>
          <w:rFonts w:asciiTheme="majorHAnsi" w:hAnsiTheme="majorHAnsi" w:cstheme="majorHAnsi"/>
          <w:sz w:val="24"/>
          <w:szCs w:val="24"/>
        </w:rPr>
        <w:t>Bio Statistics, Hospital Management, Nursing Management Etc.</w:t>
      </w:r>
    </w:p>
    <w:p w:rsidR="00703852" w:rsidRPr="00FC7658" w:rsidRDefault="00703852" w:rsidP="00B37146">
      <w:pPr>
        <w:pStyle w:val="ListParagraph"/>
        <w:numPr>
          <w:ilvl w:val="0"/>
          <w:numId w:val="7"/>
        </w:numPr>
        <w:autoSpaceDE w:val="0"/>
        <w:autoSpaceDN w:val="0"/>
        <w:adjustRightInd w:val="0"/>
        <w:spacing w:after="240"/>
        <w:jc w:val="both"/>
        <w:rPr>
          <w:rFonts w:asciiTheme="majorHAnsi" w:hAnsiTheme="majorHAnsi" w:cstheme="majorHAnsi"/>
          <w:b/>
          <w:sz w:val="24"/>
          <w:szCs w:val="24"/>
        </w:rPr>
      </w:pPr>
      <w:r w:rsidRPr="00FC7658">
        <w:rPr>
          <w:rFonts w:asciiTheme="majorHAnsi" w:hAnsiTheme="majorHAnsi" w:cstheme="majorHAnsi"/>
          <w:b/>
          <w:sz w:val="24"/>
          <w:szCs w:val="24"/>
        </w:rPr>
        <w:t xml:space="preserve">International e-Training on COVID-19 Vaccine Rollout </w:t>
      </w:r>
    </w:p>
    <w:p w:rsidR="004A1F45" w:rsidRPr="00FC7658" w:rsidRDefault="004A1F45" w:rsidP="004A1F45">
      <w:pPr>
        <w:autoSpaceDE w:val="0"/>
        <w:autoSpaceDN w:val="0"/>
        <w:adjustRightInd w:val="0"/>
        <w:spacing w:after="240"/>
        <w:jc w:val="both"/>
        <w:rPr>
          <w:rFonts w:asciiTheme="majorHAnsi" w:hAnsiTheme="majorHAnsi" w:cstheme="majorHAnsi"/>
        </w:rPr>
      </w:pPr>
    </w:p>
    <w:p w:rsidR="00416744" w:rsidRPr="00FC7658" w:rsidRDefault="00416744" w:rsidP="007F736C">
      <w:pPr>
        <w:pStyle w:val="Heading1"/>
        <w:rPr>
          <w:rFonts w:cstheme="majorHAnsi"/>
          <w:b/>
          <w:color w:val="auto"/>
          <w:szCs w:val="24"/>
        </w:rPr>
      </w:pPr>
      <w:r w:rsidRPr="00FC7658">
        <w:rPr>
          <w:rFonts w:cstheme="majorHAnsi"/>
          <w:b/>
          <w:color w:val="auto"/>
          <w:szCs w:val="24"/>
        </w:rPr>
        <w:lastRenderedPageBreak/>
        <w:t>OBJECTIVES OF THE TRAINING</w:t>
      </w:r>
    </w:p>
    <w:p w:rsidR="00622AFD" w:rsidRPr="00FC7658" w:rsidRDefault="00622AFD" w:rsidP="00352191">
      <w:pPr>
        <w:pStyle w:val="ListParagraph"/>
        <w:autoSpaceDE w:val="0"/>
        <w:autoSpaceDN w:val="0"/>
        <w:adjustRightInd w:val="0"/>
        <w:spacing w:after="240"/>
        <w:jc w:val="both"/>
        <w:rPr>
          <w:rFonts w:asciiTheme="majorHAnsi" w:hAnsiTheme="majorHAnsi" w:cstheme="majorHAnsi"/>
          <w:sz w:val="24"/>
          <w:szCs w:val="24"/>
        </w:rPr>
      </w:pPr>
      <w:r w:rsidRPr="00FC7658">
        <w:rPr>
          <w:rFonts w:asciiTheme="majorHAnsi" w:hAnsiTheme="majorHAnsi" w:cstheme="majorHAnsi"/>
          <w:sz w:val="24"/>
          <w:szCs w:val="24"/>
        </w:rPr>
        <w:t>G</w:t>
      </w:r>
      <w:r w:rsidR="00416744" w:rsidRPr="00FC7658">
        <w:rPr>
          <w:rFonts w:asciiTheme="majorHAnsi" w:hAnsiTheme="majorHAnsi" w:cstheme="majorHAnsi"/>
          <w:sz w:val="24"/>
          <w:szCs w:val="24"/>
        </w:rPr>
        <w:t xml:space="preserve">eneral objective </w:t>
      </w:r>
    </w:p>
    <w:p w:rsidR="00416744" w:rsidRPr="00FC7658" w:rsidRDefault="00622AFD" w:rsidP="005F3838">
      <w:pPr>
        <w:pStyle w:val="ListParagraph"/>
        <w:numPr>
          <w:ilvl w:val="0"/>
          <w:numId w:val="9"/>
        </w:numPr>
        <w:autoSpaceDE w:val="0"/>
        <w:autoSpaceDN w:val="0"/>
        <w:adjustRightInd w:val="0"/>
        <w:spacing w:after="240"/>
        <w:jc w:val="both"/>
        <w:rPr>
          <w:rFonts w:asciiTheme="majorHAnsi" w:hAnsiTheme="majorHAnsi" w:cstheme="majorHAnsi"/>
          <w:sz w:val="24"/>
          <w:szCs w:val="24"/>
        </w:rPr>
      </w:pPr>
      <w:r w:rsidRPr="00FC7658">
        <w:rPr>
          <w:rFonts w:asciiTheme="majorHAnsi" w:hAnsiTheme="majorHAnsi" w:cstheme="majorHAnsi"/>
          <w:sz w:val="24"/>
          <w:szCs w:val="24"/>
        </w:rPr>
        <w:t>T</w:t>
      </w:r>
      <w:r w:rsidR="00416744" w:rsidRPr="00FC7658">
        <w:rPr>
          <w:rFonts w:asciiTheme="majorHAnsi" w:hAnsiTheme="majorHAnsi" w:cstheme="majorHAnsi"/>
          <w:sz w:val="24"/>
          <w:szCs w:val="24"/>
        </w:rPr>
        <w:t>o strengthen the skills of immunization program managers at all levels in effective planning, implementation and supervision of vaccine and cold chain management.</w:t>
      </w:r>
    </w:p>
    <w:p w:rsidR="00416744" w:rsidRPr="00FC7658" w:rsidRDefault="00416744" w:rsidP="00416744">
      <w:pPr>
        <w:pStyle w:val="BodyTextIndent"/>
        <w:spacing w:before="120" w:line="360" w:lineRule="auto"/>
        <w:ind w:left="0"/>
        <w:jc w:val="both"/>
        <w:rPr>
          <w:rFonts w:asciiTheme="majorHAnsi" w:hAnsiTheme="majorHAnsi" w:cstheme="majorHAnsi"/>
          <w:bCs/>
        </w:rPr>
      </w:pPr>
      <w:r w:rsidRPr="00FC7658">
        <w:rPr>
          <w:rFonts w:asciiTheme="majorHAnsi" w:hAnsiTheme="majorHAnsi" w:cstheme="majorHAnsi"/>
          <w:bCs/>
        </w:rPr>
        <w:t>The specific objectives of T-</w:t>
      </w:r>
      <w:proofErr w:type="spellStart"/>
      <w:r w:rsidRPr="00FC7658">
        <w:rPr>
          <w:rFonts w:asciiTheme="majorHAnsi" w:hAnsiTheme="majorHAnsi" w:cstheme="majorHAnsi"/>
          <w:bCs/>
        </w:rPr>
        <w:t>VaCC</w:t>
      </w:r>
      <w:proofErr w:type="spellEnd"/>
      <w:r w:rsidRPr="00FC7658">
        <w:rPr>
          <w:rFonts w:asciiTheme="majorHAnsi" w:hAnsiTheme="majorHAnsi" w:cstheme="majorHAnsi"/>
          <w:bCs/>
        </w:rPr>
        <w:t xml:space="preserve"> are to</w:t>
      </w:r>
      <w:r w:rsidRPr="00FC7658">
        <w:rPr>
          <w:rFonts w:asciiTheme="majorHAnsi" w:hAnsiTheme="majorHAnsi" w:cstheme="majorHAnsi"/>
        </w:rPr>
        <w:t>:</w:t>
      </w:r>
    </w:p>
    <w:p w:rsidR="00416744" w:rsidRPr="00FC7658" w:rsidRDefault="00416744" w:rsidP="00416744">
      <w:pPr>
        <w:numPr>
          <w:ilvl w:val="0"/>
          <w:numId w:val="4"/>
        </w:numPr>
        <w:tabs>
          <w:tab w:val="clear" w:pos="1515"/>
          <w:tab w:val="left" w:pos="720"/>
        </w:tabs>
        <w:spacing w:before="60" w:after="60" w:line="360" w:lineRule="auto"/>
        <w:ind w:left="734" w:hanging="187"/>
        <w:jc w:val="both"/>
        <w:rPr>
          <w:rFonts w:asciiTheme="majorHAnsi" w:hAnsiTheme="majorHAnsi" w:cstheme="majorHAnsi"/>
          <w:lang w:val="en-IN"/>
        </w:rPr>
      </w:pPr>
      <w:r w:rsidRPr="00FC7658">
        <w:rPr>
          <w:rFonts w:asciiTheme="majorHAnsi" w:hAnsiTheme="majorHAnsi" w:cstheme="majorHAnsi"/>
        </w:rPr>
        <w:t xml:space="preserve">Equip participants with the </w:t>
      </w:r>
      <w:r w:rsidR="00703852" w:rsidRPr="00FC7658">
        <w:rPr>
          <w:rFonts w:asciiTheme="majorHAnsi" w:hAnsiTheme="majorHAnsi" w:cstheme="majorHAnsi"/>
        </w:rPr>
        <w:t xml:space="preserve">knowledge and </w:t>
      </w:r>
      <w:r w:rsidRPr="00FC7658">
        <w:rPr>
          <w:rFonts w:asciiTheme="majorHAnsi" w:hAnsiTheme="majorHAnsi" w:cstheme="majorHAnsi"/>
        </w:rPr>
        <w:t>skill to identify managerial issues in vaccine and cold chain management;</w:t>
      </w:r>
    </w:p>
    <w:p w:rsidR="00416744" w:rsidRPr="00FC7658" w:rsidRDefault="00416744" w:rsidP="00416744">
      <w:pPr>
        <w:numPr>
          <w:ilvl w:val="0"/>
          <w:numId w:val="4"/>
        </w:numPr>
        <w:tabs>
          <w:tab w:val="clear" w:pos="1515"/>
          <w:tab w:val="left" w:pos="720"/>
        </w:tabs>
        <w:spacing w:before="60" w:after="60" w:line="360" w:lineRule="auto"/>
        <w:ind w:left="734" w:hanging="187"/>
        <w:jc w:val="both"/>
        <w:rPr>
          <w:rFonts w:asciiTheme="majorHAnsi" w:hAnsiTheme="majorHAnsi" w:cstheme="majorHAnsi"/>
          <w:lang w:val="en-IN"/>
        </w:rPr>
      </w:pPr>
      <w:r w:rsidRPr="00FC7658">
        <w:rPr>
          <w:rFonts w:asciiTheme="majorHAnsi" w:hAnsiTheme="majorHAnsi" w:cstheme="majorHAnsi"/>
        </w:rPr>
        <w:t xml:space="preserve">Enhance the ability of participants to </w:t>
      </w:r>
      <w:r w:rsidR="00A9748D" w:rsidRPr="00FC7658">
        <w:rPr>
          <w:rFonts w:asciiTheme="majorHAnsi" w:hAnsiTheme="majorHAnsi" w:cstheme="majorHAnsi"/>
        </w:rPr>
        <w:t xml:space="preserve">identify and </w:t>
      </w:r>
      <w:r w:rsidRPr="00FC7658">
        <w:rPr>
          <w:rFonts w:asciiTheme="majorHAnsi" w:hAnsiTheme="majorHAnsi" w:cstheme="majorHAnsi"/>
        </w:rPr>
        <w:t>manage real-world issues in vaccine and cold chain management;</w:t>
      </w:r>
    </w:p>
    <w:p w:rsidR="00416744" w:rsidRPr="00FC7658" w:rsidRDefault="00416744" w:rsidP="00416744">
      <w:pPr>
        <w:numPr>
          <w:ilvl w:val="0"/>
          <w:numId w:val="4"/>
        </w:numPr>
        <w:tabs>
          <w:tab w:val="clear" w:pos="1515"/>
          <w:tab w:val="left" w:pos="720"/>
        </w:tabs>
        <w:spacing w:before="60" w:after="60" w:line="360" w:lineRule="auto"/>
        <w:ind w:left="734" w:hanging="187"/>
        <w:jc w:val="both"/>
        <w:rPr>
          <w:rFonts w:asciiTheme="majorHAnsi" w:hAnsiTheme="majorHAnsi" w:cstheme="majorHAnsi"/>
          <w:lang w:val="en-IN"/>
        </w:rPr>
      </w:pPr>
      <w:r w:rsidRPr="00FC7658">
        <w:rPr>
          <w:rFonts w:asciiTheme="majorHAnsi" w:hAnsiTheme="majorHAnsi" w:cstheme="majorHAnsi"/>
        </w:rPr>
        <w:t>Ensure understanding of participants about end-to-end vaccine management through a vaccine life cycle approach; and</w:t>
      </w:r>
    </w:p>
    <w:p w:rsidR="00416744" w:rsidRPr="00FC7658" w:rsidRDefault="00416744" w:rsidP="00416744">
      <w:pPr>
        <w:numPr>
          <w:ilvl w:val="0"/>
          <w:numId w:val="4"/>
        </w:numPr>
        <w:tabs>
          <w:tab w:val="clear" w:pos="1515"/>
          <w:tab w:val="left" w:pos="720"/>
        </w:tabs>
        <w:spacing w:before="60" w:after="60" w:line="360" w:lineRule="auto"/>
        <w:ind w:left="734" w:hanging="187"/>
        <w:jc w:val="both"/>
        <w:rPr>
          <w:rFonts w:asciiTheme="majorHAnsi" w:hAnsiTheme="majorHAnsi" w:cstheme="majorHAnsi"/>
          <w:lang w:val="en-IN"/>
        </w:rPr>
      </w:pPr>
      <w:r w:rsidRPr="00FC7658">
        <w:rPr>
          <w:rFonts w:asciiTheme="majorHAnsi" w:hAnsiTheme="majorHAnsi" w:cstheme="majorHAnsi"/>
        </w:rPr>
        <w:t>Enable participants to effectively handle the vaccine and cold chain management ecosystem</w:t>
      </w:r>
      <w:r w:rsidR="00A9748D" w:rsidRPr="00FC7658">
        <w:rPr>
          <w:rFonts w:asciiTheme="majorHAnsi" w:hAnsiTheme="majorHAnsi" w:cstheme="majorHAnsi"/>
        </w:rPr>
        <w:t>, including planning of program and forecasting the immunization supplies</w:t>
      </w:r>
      <w:r w:rsidRPr="00FC7658">
        <w:rPr>
          <w:rFonts w:asciiTheme="majorHAnsi" w:hAnsiTheme="majorHAnsi" w:cstheme="majorHAnsi"/>
          <w:spacing w:val="-1"/>
        </w:rPr>
        <w:t>.</w:t>
      </w:r>
    </w:p>
    <w:p w:rsidR="00416744" w:rsidRPr="00FC7658" w:rsidRDefault="00416744" w:rsidP="007F736C">
      <w:pPr>
        <w:pStyle w:val="Heading1"/>
        <w:rPr>
          <w:rFonts w:cstheme="majorHAnsi"/>
          <w:b/>
          <w:color w:val="auto"/>
          <w:szCs w:val="24"/>
        </w:rPr>
      </w:pPr>
      <w:r w:rsidRPr="00FC7658">
        <w:rPr>
          <w:rFonts w:cstheme="majorHAnsi"/>
          <w:b/>
          <w:color w:val="auto"/>
          <w:szCs w:val="24"/>
        </w:rPr>
        <w:t>TRAINING METHODOLOGY</w:t>
      </w:r>
    </w:p>
    <w:p w:rsidR="00703852" w:rsidRPr="00FC7658" w:rsidRDefault="00703852" w:rsidP="00703852">
      <w:pPr>
        <w:spacing w:before="120" w:after="240" w:line="276" w:lineRule="auto"/>
        <w:jc w:val="both"/>
        <w:rPr>
          <w:rFonts w:asciiTheme="majorHAnsi" w:hAnsiTheme="majorHAnsi" w:cstheme="majorHAnsi"/>
          <w:bCs/>
        </w:rPr>
      </w:pPr>
      <w:r w:rsidRPr="00FC7658">
        <w:rPr>
          <w:rFonts w:asciiTheme="majorHAnsi" w:hAnsiTheme="majorHAnsi" w:cstheme="majorHAnsi"/>
          <w:bCs/>
        </w:rPr>
        <w:t xml:space="preserve">The training will be conducted using an online training platform. The participants will be oriented on the use of this online training platform and algorithm in the course kick off session. </w:t>
      </w:r>
    </w:p>
    <w:p w:rsidR="00703852" w:rsidRPr="00FC7658" w:rsidRDefault="00703852" w:rsidP="00703852">
      <w:pPr>
        <w:spacing w:before="120" w:after="240" w:line="276" w:lineRule="auto"/>
        <w:jc w:val="both"/>
        <w:rPr>
          <w:rFonts w:asciiTheme="majorHAnsi" w:hAnsiTheme="majorHAnsi" w:cstheme="majorHAnsi"/>
        </w:rPr>
      </w:pPr>
      <w:r w:rsidRPr="00FC7658">
        <w:rPr>
          <w:rFonts w:asciiTheme="majorHAnsi" w:hAnsiTheme="majorHAnsi" w:cstheme="majorHAnsi"/>
          <w:bCs/>
        </w:rPr>
        <w:t xml:space="preserve">The training will lay particular emphasis on participatory learning and will use a diverse mix of techniques to ensure robust engagement with participants. The training will be covered over </w:t>
      </w:r>
      <w:proofErr w:type="gramStart"/>
      <w:r w:rsidR="00D3163A" w:rsidRPr="00FC7658">
        <w:rPr>
          <w:rFonts w:asciiTheme="majorHAnsi" w:hAnsiTheme="majorHAnsi" w:cstheme="majorHAnsi"/>
          <w:bCs/>
        </w:rPr>
        <w:t>an</w:t>
      </w:r>
      <w:proofErr w:type="gramEnd"/>
      <w:r w:rsidR="0096766B" w:rsidRPr="00FC7658">
        <w:rPr>
          <w:rFonts w:asciiTheme="majorHAnsi" w:hAnsiTheme="majorHAnsi" w:cstheme="majorHAnsi"/>
          <w:bCs/>
        </w:rPr>
        <w:t xml:space="preserve"> 5</w:t>
      </w:r>
      <w:r w:rsidRPr="00FC7658">
        <w:rPr>
          <w:rFonts w:asciiTheme="majorHAnsi" w:hAnsiTheme="majorHAnsi" w:cstheme="majorHAnsi"/>
          <w:bCs/>
        </w:rPr>
        <w:t>-day period using English as the communicating language</w:t>
      </w:r>
      <w:r w:rsidRPr="00FC7658">
        <w:rPr>
          <w:rFonts w:asciiTheme="majorHAnsi" w:hAnsiTheme="majorHAnsi" w:cstheme="majorHAnsi"/>
        </w:rPr>
        <w:t xml:space="preserve">. The timing of daily session will be </w:t>
      </w:r>
      <w:r w:rsidR="00D3163A" w:rsidRPr="00FC7658">
        <w:rPr>
          <w:rFonts w:asciiTheme="majorHAnsi" w:hAnsiTheme="majorHAnsi" w:cstheme="majorHAnsi"/>
        </w:rPr>
        <w:t xml:space="preserve">maximum </w:t>
      </w:r>
      <w:r w:rsidR="003E20C3" w:rsidRPr="00FC7658">
        <w:rPr>
          <w:rFonts w:asciiTheme="majorHAnsi" w:hAnsiTheme="majorHAnsi" w:cstheme="majorHAnsi"/>
        </w:rPr>
        <w:t>up to</w:t>
      </w:r>
      <w:r w:rsidR="00D3163A" w:rsidRPr="00FC7658">
        <w:rPr>
          <w:rFonts w:asciiTheme="majorHAnsi" w:hAnsiTheme="majorHAnsi" w:cstheme="majorHAnsi"/>
        </w:rPr>
        <w:t xml:space="preserve"> </w:t>
      </w:r>
      <w:r w:rsidRPr="00FC7658">
        <w:rPr>
          <w:rFonts w:asciiTheme="majorHAnsi" w:hAnsiTheme="majorHAnsi" w:cstheme="majorHAnsi"/>
        </w:rPr>
        <w:t xml:space="preserve">3 hours. All the live sessions may be recorded during the training and will be shared with the participants after the sessions. </w:t>
      </w:r>
    </w:p>
    <w:p w:rsidR="00703852" w:rsidRPr="00FC7658" w:rsidRDefault="00F330B1" w:rsidP="00703852">
      <w:pPr>
        <w:spacing w:before="120" w:after="240" w:line="276" w:lineRule="auto"/>
        <w:jc w:val="both"/>
        <w:rPr>
          <w:rFonts w:asciiTheme="majorHAnsi" w:hAnsiTheme="majorHAnsi" w:cstheme="majorHAnsi"/>
          <w:bCs/>
        </w:rPr>
      </w:pPr>
      <w:r w:rsidRPr="00FC7658">
        <w:rPr>
          <w:rFonts w:asciiTheme="majorHAnsi" w:hAnsiTheme="majorHAnsi" w:cstheme="majorHAnsi"/>
          <w:bCs/>
        </w:rPr>
        <w:t>The T-</w:t>
      </w:r>
      <w:proofErr w:type="spellStart"/>
      <w:r w:rsidRPr="00FC7658">
        <w:rPr>
          <w:rFonts w:asciiTheme="majorHAnsi" w:hAnsiTheme="majorHAnsi" w:cstheme="majorHAnsi"/>
          <w:bCs/>
        </w:rPr>
        <w:t>VaCC</w:t>
      </w:r>
      <w:proofErr w:type="spellEnd"/>
      <w:r w:rsidRPr="00FC7658">
        <w:rPr>
          <w:rFonts w:asciiTheme="majorHAnsi" w:hAnsiTheme="majorHAnsi" w:cstheme="majorHAnsi"/>
          <w:bCs/>
        </w:rPr>
        <w:t xml:space="preserve"> will utilize a mix of appropriate training technologies including lecture discussion methods, case studies, group discussions, demonstrations, group exercises and quizzes to practice managerial skills in vaccine and cold chain </w:t>
      </w:r>
      <w:r w:rsidR="00AC172A" w:rsidRPr="00FC7658">
        <w:rPr>
          <w:rFonts w:asciiTheme="majorHAnsi" w:hAnsiTheme="majorHAnsi" w:cstheme="majorHAnsi"/>
          <w:bCs/>
        </w:rPr>
        <w:t>management.</w:t>
      </w:r>
      <w:r w:rsidR="00703852" w:rsidRPr="00FC7658">
        <w:rPr>
          <w:rFonts w:asciiTheme="majorHAnsi" w:hAnsiTheme="majorHAnsi" w:cstheme="majorHAnsi"/>
          <w:spacing w:val="-1"/>
        </w:rPr>
        <w:t xml:space="preserve"> All the sessions will be interactive and will be motivated by the facilitator to ask questions into the chat box. The Co-facilitator will be checking the questions will be putting in front of lead facilitator for real time answer. </w:t>
      </w:r>
      <w:r w:rsidRPr="00FC7658">
        <w:rPr>
          <w:rFonts w:asciiTheme="majorHAnsi" w:hAnsiTheme="majorHAnsi" w:cstheme="majorHAnsi"/>
          <w:bCs/>
        </w:rPr>
        <w:t xml:space="preserve">The participants will do exercises individually and in groups, and will make presentations on their observations and managerial actions. </w:t>
      </w:r>
      <w:r w:rsidR="00703852" w:rsidRPr="00FC7658">
        <w:rPr>
          <w:rFonts w:asciiTheme="majorHAnsi" w:hAnsiTheme="majorHAnsi" w:cstheme="majorHAnsi"/>
          <w:spacing w:val="-1"/>
        </w:rPr>
        <w:t>The training performance will be assessed through pre and post</w:t>
      </w:r>
      <w:r w:rsidR="003E20C3" w:rsidRPr="00FC7658">
        <w:rPr>
          <w:rFonts w:asciiTheme="majorHAnsi" w:hAnsiTheme="majorHAnsi" w:cstheme="majorHAnsi"/>
          <w:spacing w:val="-1"/>
        </w:rPr>
        <w:t>-</w:t>
      </w:r>
      <w:r w:rsidR="00703852" w:rsidRPr="00FC7658">
        <w:rPr>
          <w:rFonts w:asciiTheme="majorHAnsi" w:hAnsiTheme="majorHAnsi" w:cstheme="majorHAnsi"/>
          <w:spacing w:val="-1"/>
        </w:rPr>
        <w:t xml:space="preserve">test. At the end of the training, the feedback will be obtained from the participants to bring in further improvements in the program. </w:t>
      </w:r>
      <w:bookmarkStart w:id="1" w:name="_GoBack"/>
      <w:bookmarkEnd w:id="1"/>
    </w:p>
    <w:p w:rsidR="007916B0" w:rsidRPr="00FC7658" w:rsidRDefault="00416744" w:rsidP="008819ED">
      <w:pPr>
        <w:spacing w:before="120" w:after="240" w:line="276" w:lineRule="auto"/>
        <w:jc w:val="both"/>
        <w:rPr>
          <w:rFonts w:asciiTheme="majorHAnsi" w:eastAsiaTheme="majorEastAsia" w:hAnsiTheme="majorHAnsi" w:cstheme="majorHAnsi"/>
          <w:b/>
          <w:sz w:val="32"/>
        </w:rPr>
      </w:pPr>
      <w:r w:rsidRPr="00FC7658">
        <w:rPr>
          <w:rFonts w:asciiTheme="majorHAnsi" w:hAnsiTheme="majorHAnsi" w:cstheme="majorHAnsi"/>
          <w:bCs/>
        </w:rPr>
        <w:lastRenderedPageBreak/>
        <w:t>Participants will start preparing for the training a couple of weeks before they actually attend the training. They will be provided with background reading material (pre-read material) essential for an adequate understanding of the training contents in advance.</w:t>
      </w:r>
    </w:p>
    <w:p w:rsidR="00416744" w:rsidRPr="00FC7658" w:rsidRDefault="00416744" w:rsidP="007F736C">
      <w:pPr>
        <w:pStyle w:val="Heading1"/>
        <w:rPr>
          <w:rFonts w:cstheme="majorHAnsi"/>
          <w:b/>
          <w:color w:val="auto"/>
          <w:szCs w:val="24"/>
        </w:rPr>
      </w:pPr>
      <w:r w:rsidRPr="00FC7658">
        <w:rPr>
          <w:rFonts w:cstheme="majorHAnsi"/>
          <w:b/>
          <w:color w:val="auto"/>
          <w:szCs w:val="24"/>
        </w:rPr>
        <w:t>TRAINING CONTENTS</w:t>
      </w:r>
    </w:p>
    <w:p w:rsidR="00416744" w:rsidRPr="00FC7658" w:rsidRDefault="00416744" w:rsidP="00416744">
      <w:pPr>
        <w:spacing w:before="120" w:after="120" w:line="360" w:lineRule="auto"/>
        <w:jc w:val="both"/>
        <w:rPr>
          <w:rFonts w:asciiTheme="majorHAnsi" w:hAnsiTheme="majorHAnsi" w:cstheme="majorHAnsi"/>
          <w:bCs/>
          <w:lang w:val="en-IN"/>
        </w:rPr>
      </w:pPr>
      <w:r w:rsidRPr="00FC7658">
        <w:rPr>
          <w:rFonts w:asciiTheme="majorHAnsi" w:hAnsiTheme="majorHAnsi" w:cstheme="majorHAnsi"/>
          <w:bCs/>
        </w:rPr>
        <w:t>The T-</w:t>
      </w:r>
      <w:proofErr w:type="spellStart"/>
      <w:r w:rsidRPr="00FC7658">
        <w:rPr>
          <w:rFonts w:asciiTheme="majorHAnsi" w:hAnsiTheme="majorHAnsi" w:cstheme="majorHAnsi"/>
          <w:bCs/>
        </w:rPr>
        <w:t>VaCC</w:t>
      </w:r>
      <w:proofErr w:type="spellEnd"/>
      <w:r w:rsidRPr="00FC7658">
        <w:rPr>
          <w:rFonts w:asciiTheme="majorHAnsi" w:hAnsiTheme="majorHAnsi" w:cstheme="majorHAnsi"/>
          <w:bCs/>
        </w:rPr>
        <w:t xml:space="preserve"> </w:t>
      </w:r>
      <w:r w:rsidRPr="00FC7658">
        <w:rPr>
          <w:rFonts w:asciiTheme="majorHAnsi" w:hAnsiTheme="majorHAnsi" w:cstheme="majorHAnsi"/>
          <w:bCs/>
          <w:lang w:val="en-IN"/>
        </w:rPr>
        <w:t>covers key aspects of vaccine and cold chain management through a mix of theory, exercises, group works, and field visits. The following areas will be covered in the training</w:t>
      </w:r>
      <w:r w:rsidRPr="00FC7658">
        <w:rPr>
          <w:rFonts w:asciiTheme="majorHAnsi" w:hAnsiTheme="majorHAnsi" w:cstheme="majorHAnsi"/>
        </w:rPr>
        <w:t>:</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 xml:space="preserve">Vaccine estimation &amp; scheduling </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Vaccine receipt</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Vaccine storage</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Stock management</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Vaccine distribution</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Vaccine wastage</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Vaccine management at Service delivery level</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Temperature monitoring</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Cold chain maintenance</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Supportive supervision in immunization</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Management Information System</w:t>
      </w:r>
      <w:r w:rsidR="00F330B1" w:rsidRPr="00FC7658">
        <w:rPr>
          <w:rFonts w:asciiTheme="majorHAnsi" w:hAnsiTheme="majorHAnsi" w:cstheme="majorHAnsi"/>
          <w:lang w:bidi="hi-IN"/>
        </w:rPr>
        <w:t>s</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Cold Chain Planning</w:t>
      </w:r>
    </w:p>
    <w:p w:rsidR="00416744" w:rsidRPr="00FC7658" w:rsidRDefault="00416744" w:rsidP="00416744">
      <w:pPr>
        <w:numPr>
          <w:ilvl w:val="0"/>
          <w:numId w:val="2"/>
        </w:numPr>
        <w:autoSpaceDE w:val="0"/>
        <w:autoSpaceDN w:val="0"/>
        <w:adjustRightInd w:val="0"/>
        <w:spacing w:before="60" w:after="60" w:line="360" w:lineRule="auto"/>
        <w:ind w:left="734" w:hanging="187"/>
        <w:jc w:val="both"/>
        <w:rPr>
          <w:rFonts w:asciiTheme="majorHAnsi" w:hAnsiTheme="majorHAnsi" w:cstheme="majorHAnsi"/>
          <w:lang w:bidi="hi-IN"/>
        </w:rPr>
      </w:pPr>
      <w:r w:rsidRPr="00FC7658">
        <w:rPr>
          <w:rFonts w:asciiTheme="majorHAnsi" w:hAnsiTheme="majorHAnsi" w:cstheme="majorHAnsi"/>
          <w:lang w:bidi="hi-IN"/>
        </w:rPr>
        <w:t>E</w:t>
      </w:r>
      <w:r w:rsidR="00F330B1" w:rsidRPr="00FC7658">
        <w:rPr>
          <w:rFonts w:asciiTheme="majorHAnsi" w:hAnsiTheme="majorHAnsi" w:cstheme="majorHAnsi"/>
          <w:lang w:bidi="hi-IN"/>
        </w:rPr>
        <w:t xml:space="preserve">ffective </w:t>
      </w:r>
      <w:r w:rsidR="003E20C3" w:rsidRPr="00FC7658">
        <w:rPr>
          <w:rFonts w:asciiTheme="majorHAnsi" w:hAnsiTheme="majorHAnsi" w:cstheme="majorHAnsi"/>
          <w:lang w:bidi="hi-IN"/>
        </w:rPr>
        <w:t>Vaccine Management</w:t>
      </w:r>
      <w:r w:rsidR="00F330B1" w:rsidRPr="00FC7658">
        <w:rPr>
          <w:rFonts w:asciiTheme="majorHAnsi" w:hAnsiTheme="majorHAnsi" w:cstheme="majorHAnsi"/>
          <w:lang w:bidi="hi-IN"/>
        </w:rPr>
        <w:t xml:space="preserve"> and</w:t>
      </w:r>
      <w:r w:rsidRPr="00FC7658">
        <w:rPr>
          <w:rFonts w:asciiTheme="majorHAnsi" w:hAnsiTheme="majorHAnsi" w:cstheme="majorHAnsi"/>
          <w:lang w:bidi="hi-IN"/>
        </w:rPr>
        <w:t xml:space="preserve"> Improvement Plan </w:t>
      </w:r>
    </w:p>
    <w:p w:rsidR="00416744" w:rsidRPr="00FC7658" w:rsidRDefault="00416744" w:rsidP="007F736C">
      <w:pPr>
        <w:pStyle w:val="Heading1"/>
        <w:rPr>
          <w:rFonts w:cstheme="majorHAnsi"/>
          <w:b/>
          <w:color w:val="auto"/>
          <w:szCs w:val="24"/>
        </w:rPr>
      </w:pPr>
      <w:r w:rsidRPr="00FC7658">
        <w:rPr>
          <w:rFonts w:cstheme="majorHAnsi"/>
          <w:b/>
          <w:color w:val="auto"/>
          <w:szCs w:val="24"/>
        </w:rPr>
        <w:t>TRAINING MATERIALS</w:t>
      </w:r>
    </w:p>
    <w:p w:rsidR="00416744" w:rsidRPr="00FC7658" w:rsidRDefault="00416744" w:rsidP="00416744">
      <w:pPr>
        <w:spacing w:before="120" w:after="120" w:line="360" w:lineRule="auto"/>
        <w:jc w:val="both"/>
        <w:rPr>
          <w:rFonts w:asciiTheme="majorHAnsi" w:hAnsiTheme="majorHAnsi" w:cstheme="majorHAnsi"/>
        </w:rPr>
      </w:pPr>
      <w:r w:rsidRPr="00FC7658">
        <w:rPr>
          <w:rFonts w:asciiTheme="majorHAnsi" w:hAnsiTheme="majorHAnsi" w:cstheme="majorHAnsi"/>
        </w:rPr>
        <w:t>The following training materials will be used:</w:t>
      </w:r>
    </w:p>
    <w:p w:rsidR="00416744" w:rsidRPr="00FC7658" w:rsidRDefault="00416744" w:rsidP="00416744">
      <w:pPr>
        <w:numPr>
          <w:ilvl w:val="0"/>
          <w:numId w:val="1"/>
        </w:numPr>
        <w:spacing w:before="60" w:after="60" w:line="360" w:lineRule="auto"/>
        <w:ind w:left="734" w:hanging="187"/>
        <w:jc w:val="both"/>
        <w:rPr>
          <w:rFonts w:asciiTheme="majorHAnsi" w:hAnsiTheme="majorHAnsi" w:cstheme="majorHAnsi"/>
        </w:rPr>
      </w:pPr>
      <w:r w:rsidRPr="00FC7658">
        <w:rPr>
          <w:rFonts w:asciiTheme="majorHAnsi" w:hAnsiTheme="majorHAnsi" w:cstheme="majorHAnsi"/>
        </w:rPr>
        <w:t>The Facilitators' Guide</w:t>
      </w:r>
    </w:p>
    <w:p w:rsidR="00416744" w:rsidRPr="00FC7658" w:rsidRDefault="00416744" w:rsidP="00416744">
      <w:pPr>
        <w:numPr>
          <w:ilvl w:val="0"/>
          <w:numId w:val="1"/>
        </w:numPr>
        <w:spacing w:before="60" w:after="60" w:line="360" w:lineRule="auto"/>
        <w:ind w:left="734" w:hanging="187"/>
        <w:jc w:val="both"/>
        <w:rPr>
          <w:rFonts w:asciiTheme="majorHAnsi" w:hAnsiTheme="majorHAnsi" w:cstheme="majorHAnsi"/>
        </w:rPr>
      </w:pPr>
      <w:r w:rsidRPr="00FC7658">
        <w:rPr>
          <w:rFonts w:asciiTheme="majorHAnsi" w:eastAsia="MS Mincho" w:hAnsiTheme="majorHAnsi" w:cstheme="majorHAnsi"/>
        </w:rPr>
        <w:t>Session plans</w:t>
      </w:r>
    </w:p>
    <w:p w:rsidR="00416744" w:rsidRPr="00FC7658" w:rsidRDefault="00416744" w:rsidP="00416744">
      <w:pPr>
        <w:numPr>
          <w:ilvl w:val="0"/>
          <w:numId w:val="1"/>
        </w:numPr>
        <w:spacing w:before="60" w:after="60" w:line="360" w:lineRule="auto"/>
        <w:ind w:left="734" w:hanging="187"/>
        <w:jc w:val="both"/>
        <w:rPr>
          <w:rFonts w:asciiTheme="majorHAnsi" w:eastAsia="MS Mincho" w:hAnsiTheme="majorHAnsi" w:cstheme="majorHAnsi"/>
        </w:rPr>
      </w:pPr>
      <w:r w:rsidRPr="00FC7658">
        <w:rPr>
          <w:rFonts w:asciiTheme="majorHAnsi" w:eastAsia="MS Mincho" w:hAnsiTheme="majorHAnsi" w:cstheme="majorHAnsi"/>
        </w:rPr>
        <w:t>Standard PPTs</w:t>
      </w:r>
    </w:p>
    <w:p w:rsidR="00416744" w:rsidRPr="00FC7658" w:rsidRDefault="00416744" w:rsidP="00416744">
      <w:pPr>
        <w:numPr>
          <w:ilvl w:val="0"/>
          <w:numId w:val="1"/>
        </w:numPr>
        <w:spacing w:before="60" w:after="60" w:line="360" w:lineRule="auto"/>
        <w:ind w:left="734" w:hanging="187"/>
        <w:jc w:val="both"/>
        <w:rPr>
          <w:rFonts w:asciiTheme="majorHAnsi" w:eastAsia="MS Mincho" w:hAnsiTheme="majorHAnsi" w:cstheme="majorHAnsi"/>
        </w:rPr>
      </w:pPr>
      <w:r w:rsidRPr="00FC7658">
        <w:rPr>
          <w:rFonts w:asciiTheme="majorHAnsi" w:eastAsia="MS Mincho" w:hAnsiTheme="majorHAnsi" w:cstheme="majorHAnsi"/>
        </w:rPr>
        <w:t>Case studies</w:t>
      </w:r>
    </w:p>
    <w:p w:rsidR="00416744" w:rsidRPr="00FC7658" w:rsidRDefault="00416744" w:rsidP="00416744">
      <w:pPr>
        <w:numPr>
          <w:ilvl w:val="0"/>
          <w:numId w:val="1"/>
        </w:numPr>
        <w:spacing w:before="60" w:after="60" w:line="360" w:lineRule="auto"/>
        <w:ind w:left="734" w:hanging="187"/>
        <w:jc w:val="both"/>
        <w:rPr>
          <w:rFonts w:asciiTheme="majorHAnsi" w:eastAsia="MS Mincho" w:hAnsiTheme="majorHAnsi" w:cstheme="majorHAnsi"/>
        </w:rPr>
      </w:pPr>
      <w:r w:rsidRPr="00FC7658">
        <w:rPr>
          <w:rFonts w:asciiTheme="majorHAnsi" w:eastAsia="MS Mincho" w:hAnsiTheme="majorHAnsi" w:cstheme="majorHAnsi"/>
        </w:rPr>
        <w:t>Photographs and videos</w:t>
      </w:r>
    </w:p>
    <w:p w:rsidR="00416744" w:rsidRPr="00FC7658" w:rsidRDefault="00416744" w:rsidP="00416744">
      <w:pPr>
        <w:numPr>
          <w:ilvl w:val="0"/>
          <w:numId w:val="1"/>
        </w:numPr>
        <w:spacing w:before="60" w:after="60" w:line="360" w:lineRule="auto"/>
        <w:ind w:left="734" w:hanging="187"/>
        <w:jc w:val="both"/>
        <w:rPr>
          <w:rFonts w:asciiTheme="majorHAnsi" w:eastAsia="MS Mincho" w:hAnsiTheme="majorHAnsi" w:cstheme="majorHAnsi"/>
        </w:rPr>
      </w:pPr>
      <w:r w:rsidRPr="00FC7658">
        <w:rPr>
          <w:rFonts w:asciiTheme="majorHAnsi" w:eastAsia="MS Mincho" w:hAnsiTheme="majorHAnsi" w:cstheme="majorHAnsi"/>
        </w:rPr>
        <w:lastRenderedPageBreak/>
        <w:t>Exercise sheets and handouts</w:t>
      </w:r>
    </w:p>
    <w:p w:rsidR="00416744" w:rsidRPr="00FC7658" w:rsidRDefault="00416744" w:rsidP="00416744">
      <w:pPr>
        <w:numPr>
          <w:ilvl w:val="0"/>
          <w:numId w:val="1"/>
        </w:numPr>
        <w:spacing w:before="60" w:after="60" w:line="360" w:lineRule="auto"/>
        <w:ind w:left="734" w:hanging="187"/>
        <w:jc w:val="both"/>
        <w:rPr>
          <w:rFonts w:asciiTheme="majorHAnsi" w:eastAsia="MS Mincho" w:hAnsiTheme="majorHAnsi" w:cstheme="majorHAnsi"/>
        </w:rPr>
      </w:pPr>
      <w:r w:rsidRPr="00FC7658">
        <w:rPr>
          <w:rFonts w:asciiTheme="majorHAnsi" w:eastAsia="MS Mincho" w:hAnsiTheme="majorHAnsi" w:cstheme="majorHAnsi"/>
        </w:rPr>
        <w:t>Quiz</w:t>
      </w:r>
    </w:p>
    <w:p w:rsidR="00416744" w:rsidRPr="00FC7658" w:rsidRDefault="00416744" w:rsidP="00416744">
      <w:pPr>
        <w:spacing w:before="120" w:after="120" w:line="360" w:lineRule="auto"/>
        <w:jc w:val="both"/>
        <w:rPr>
          <w:rFonts w:asciiTheme="majorHAnsi" w:hAnsiTheme="majorHAnsi" w:cstheme="majorHAnsi"/>
        </w:rPr>
      </w:pPr>
    </w:p>
    <w:p w:rsidR="00416744" w:rsidRPr="00FC7658" w:rsidRDefault="00416744" w:rsidP="007F736C">
      <w:pPr>
        <w:pStyle w:val="Heading1"/>
        <w:rPr>
          <w:rFonts w:cstheme="majorHAnsi"/>
          <w:b/>
          <w:color w:val="auto"/>
          <w:szCs w:val="24"/>
        </w:rPr>
      </w:pPr>
      <w:r w:rsidRPr="00FC7658">
        <w:rPr>
          <w:rFonts w:cstheme="majorHAnsi"/>
          <w:b/>
          <w:color w:val="auto"/>
          <w:szCs w:val="24"/>
        </w:rPr>
        <w:t>MATERIAL TO BE HANDED OVER TO PARTICIPANTS</w:t>
      </w:r>
    </w:p>
    <w:p w:rsidR="00416744" w:rsidRPr="00FC7658" w:rsidRDefault="00416744" w:rsidP="00416744">
      <w:pPr>
        <w:spacing w:before="120" w:after="120" w:line="360" w:lineRule="auto"/>
        <w:jc w:val="both"/>
        <w:rPr>
          <w:rFonts w:asciiTheme="majorHAnsi" w:hAnsiTheme="majorHAnsi" w:cstheme="majorHAnsi"/>
        </w:rPr>
      </w:pPr>
      <w:r w:rsidRPr="00FC7658">
        <w:rPr>
          <w:rFonts w:asciiTheme="majorHAnsi" w:hAnsiTheme="majorHAnsi" w:cstheme="majorHAnsi"/>
        </w:rPr>
        <w:t>The following training materials will be given to each participant:</w:t>
      </w:r>
    </w:p>
    <w:p w:rsidR="00416744" w:rsidRPr="00FC7658" w:rsidRDefault="00416744" w:rsidP="00416744">
      <w:pPr>
        <w:numPr>
          <w:ilvl w:val="0"/>
          <w:numId w:val="3"/>
        </w:numPr>
        <w:spacing w:before="60" w:after="60" w:line="360" w:lineRule="auto"/>
        <w:ind w:left="734" w:hanging="187"/>
        <w:jc w:val="both"/>
        <w:rPr>
          <w:rFonts w:asciiTheme="majorHAnsi" w:hAnsiTheme="majorHAnsi" w:cstheme="majorHAnsi"/>
        </w:rPr>
      </w:pPr>
      <w:r w:rsidRPr="00FC7658">
        <w:rPr>
          <w:rFonts w:asciiTheme="majorHAnsi" w:hAnsiTheme="majorHAnsi" w:cstheme="majorHAnsi"/>
        </w:rPr>
        <w:t xml:space="preserve">Pre-training reading material (to be sent to participants online, in multiple spells, starting about 10 days before the commencement of the training) </w:t>
      </w:r>
    </w:p>
    <w:p w:rsidR="00E02646" w:rsidRPr="00FC7658" w:rsidRDefault="00416744" w:rsidP="00675BA5">
      <w:pPr>
        <w:numPr>
          <w:ilvl w:val="0"/>
          <w:numId w:val="3"/>
        </w:numPr>
        <w:spacing w:before="60" w:after="60" w:line="360" w:lineRule="auto"/>
        <w:ind w:left="734" w:hanging="187"/>
        <w:jc w:val="both"/>
        <w:rPr>
          <w:rFonts w:asciiTheme="majorHAnsi" w:hAnsiTheme="majorHAnsi" w:cstheme="majorHAnsi"/>
        </w:rPr>
      </w:pPr>
      <w:r w:rsidRPr="00FC7658">
        <w:rPr>
          <w:rFonts w:asciiTheme="majorHAnsi" w:eastAsia="MS Mincho" w:hAnsiTheme="majorHAnsi" w:cstheme="majorHAnsi"/>
        </w:rPr>
        <w:t>Training PPTs / other session materials (to be given in secondary data storage devices/ pen drives)</w:t>
      </w:r>
      <w:r w:rsidRPr="00FC7658">
        <w:rPr>
          <w:rFonts w:asciiTheme="majorHAnsi" w:hAnsiTheme="majorHAnsi" w:cstheme="majorHAnsi"/>
        </w:rPr>
        <w:t>.</w:t>
      </w:r>
    </w:p>
    <w:p w:rsidR="00E02646" w:rsidRPr="00FC7658" w:rsidRDefault="00E02646" w:rsidP="007F736C">
      <w:pPr>
        <w:pStyle w:val="Heading1"/>
        <w:rPr>
          <w:rFonts w:cstheme="majorHAnsi"/>
          <w:b/>
          <w:color w:val="auto"/>
          <w:szCs w:val="24"/>
        </w:rPr>
      </w:pPr>
      <w:r w:rsidRPr="00FC7658">
        <w:rPr>
          <w:rFonts w:cstheme="majorHAnsi"/>
          <w:b/>
          <w:color w:val="auto"/>
          <w:szCs w:val="24"/>
        </w:rPr>
        <w:t>DURATION OF TRAINING</w:t>
      </w:r>
    </w:p>
    <w:p w:rsidR="008B1C5A" w:rsidRPr="00FC7658" w:rsidRDefault="008819ED" w:rsidP="00E02646">
      <w:pPr>
        <w:spacing w:before="120" w:after="120" w:line="360" w:lineRule="auto"/>
        <w:jc w:val="both"/>
        <w:rPr>
          <w:rFonts w:asciiTheme="majorHAnsi" w:hAnsiTheme="majorHAnsi" w:cstheme="majorHAnsi"/>
        </w:rPr>
      </w:pPr>
      <w:r w:rsidRPr="00FC7658">
        <w:rPr>
          <w:rFonts w:asciiTheme="majorHAnsi" w:hAnsiTheme="majorHAnsi" w:cstheme="majorHAnsi"/>
        </w:rPr>
        <w:t>Five</w:t>
      </w:r>
      <w:r w:rsidR="00E02646" w:rsidRPr="00FC7658">
        <w:rPr>
          <w:rFonts w:asciiTheme="majorHAnsi" w:hAnsiTheme="majorHAnsi" w:cstheme="majorHAnsi"/>
        </w:rPr>
        <w:t xml:space="preserve"> days. </w:t>
      </w:r>
      <w:r w:rsidR="00064D0B" w:rsidRPr="00FC7658">
        <w:rPr>
          <w:rFonts w:asciiTheme="majorHAnsi" w:hAnsiTheme="majorHAnsi" w:cstheme="majorHAnsi"/>
        </w:rPr>
        <w:t xml:space="preserve"> Maximum of 4.5</w:t>
      </w:r>
      <w:r w:rsidR="00F330B1" w:rsidRPr="00FC7658">
        <w:rPr>
          <w:rFonts w:asciiTheme="majorHAnsi" w:hAnsiTheme="majorHAnsi" w:cstheme="majorHAnsi"/>
        </w:rPr>
        <w:t xml:space="preserve"> hours in a day. </w:t>
      </w:r>
    </w:p>
    <w:p w:rsidR="008B1C5A" w:rsidRPr="00FC7658" w:rsidRDefault="008B1C5A" w:rsidP="00E02646">
      <w:pPr>
        <w:spacing w:before="120" w:after="120" w:line="360" w:lineRule="auto"/>
        <w:jc w:val="both"/>
        <w:rPr>
          <w:rFonts w:asciiTheme="majorHAnsi" w:hAnsiTheme="majorHAnsi" w:cstheme="majorHAnsi"/>
        </w:rPr>
      </w:pPr>
      <w:r w:rsidRPr="00FC7658">
        <w:rPr>
          <w:rFonts w:asciiTheme="majorHAnsi" w:hAnsiTheme="majorHAnsi" w:cstheme="majorHAnsi"/>
        </w:rPr>
        <w:t>11:00 AM to 1:00 PM</w:t>
      </w:r>
    </w:p>
    <w:p w:rsidR="008B1C5A" w:rsidRPr="00FC7658" w:rsidRDefault="008B1C5A" w:rsidP="00E02646">
      <w:pPr>
        <w:spacing w:before="120" w:after="120" w:line="360" w:lineRule="auto"/>
        <w:jc w:val="both"/>
        <w:rPr>
          <w:rFonts w:asciiTheme="majorHAnsi" w:hAnsiTheme="majorHAnsi" w:cstheme="majorHAnsi"/>
        </w:rPr>
      </w:pPr>
      <w:r w:rsidRPr="00FC7658">
        <w:rPr>
          <w:rFonts w:asciiTheme="majorHAnsi" w:hAnsiTheme="majorHAnsi" w:cstheme="majorHAnsi"/>
        </w:rPr>
        <w:t>02:00 PM to 04:30 PM</w:t>
      </w:r>
    </w:p>
    <w:p w:rsidR="00E02646" w:rsidRPr="00FC7658" w:rsidRDefault="007F736C" w:rsidP="007F736C">
      <w:pPr>
        <w:pStyle w:val="Heading1"/>
        <w:rPr>
          <w:rFonts w:cstheme="majorHAnsi"/>
          <w:color w:val="auto"/>
          <w:sz w:val="24"/>
          <w:szCs w:val="24"/>
        </w:rPr>
      </w:pPr>
      <w:r w:rsidRPr="00FC7658">
        <w:rPr>
          <w:rFonts w:cstheme="majorHAnsi"/>
          <w:b/>
          <w:color w:val="auto"/>
          <w:szCs w:val="24"/>
        </w:rPr>
        <w:t>MODE-</w:t>
      </w:r>
      <w:r w:rsidRPr="00FC7658">
        <w:rPr>
          <w:rFonts w:cstheme="majorHAnsi"/>
          <w:color w:val="auto"/>
          <w:sz w:val="24"/>
          <w:szCs w:val="24"/>
        </w:rPr>
        <w:t xml:space="preserve"> </w:t>
      </w:r>
      <w:r w:rsidR="00E02646" w:rsidRPr="00FC7658">
        <w:rPr>
          <w:rFonts w:eastAsia="Times New Roman" w:cstheme="majorHAnsi"/>
          <w:color w:val="auto"/>
          <w:sz w:val="24"/>
          <w:szCs w:val="24"/>
        </w:rPr>
        <w:t>Virtual</w:t>
      </w:r>
      <w:r w:rsidR="00F330B1" w:rsidRPr="00FC7658">
        <w:rPr>
          <w:rFonts w:eastAsia="Times New Roman" w:cstheme="majorHAnsi"/>
          <w:color w:val="auto"/>
          <w:sz w:val="24"/>
          <w:szCs w:val="24"/>
        </w:rPr>
        <w:t>/Online platform</w:t>
      </w:r>
    </w:p>
    <w:p w:rsidR="00E02646" w:rsidRPr="00FC7658" w:rsidRDefault="007F736C" w:rsidP="007F736C">
      <w:pPr>
        <w:pStyle w:val="Heading1"/>
        <w:rPr>
          <w:rFonts w:cstheme="majorHAnsi"/>
          <w:color w:val="auto"/>
          <w:sz w:val="24"/>
          <w:szCs w:val="24"/>
        </w:rPr>
      </w:pPr>
      <w:r w:rsidRPr="00FC7658">
        <w:rPr>
          <w:rFonts w:cstheme="majorHAnsi"/>
          <w:b/>
          <w:color w:val="auto"/>
          <w:szCs w:val="24"/>
        </w:rPr>
        <w:t>LANGUAGE</w:t>
      </w:r>
      <w:r w:rsidR="00E02646" w:rsidRPr="00FC7658">
        <w:rPr>
          <w:rFonts w:cstheme="majorHAnsi"/>
          <w:b/>
          <w:color w:val="auto"/>
          <w:szCs w:val="24"/>
        </w:rPr>
        <w:t>-</w:t>
      </w:r>
      <w:r w:rsidR="00E02646" w:rsidRPr="00FC7658">
        <w:rPr>
          <w:rFonts w:cstheme="majorHAnsi"/>
          <w:b/>
          <w:color w:val="auto"/>
          <w:sz w:val="24"/>
          <w:szCs w:val="24"/>
        </w:rPr>
        <w:t xml:space="preserve"> </w:t>
      </w:r>
      <w:r w:rsidR="00E02646" w:rsidRPr="00FC7658">
        <w:rPr>
          <w:rFonts w:eastAsia="Times New Roman" w:cstheme="majorHAnsi"/>
          <w:color w:val="auto"/>
          <w:sz w:val="24"/>
          <w:szCs w:val="24"/>
        </w:rPr>
        <w:t>English</w:t>
      </w:r>
    </w:p>
    <w:p w:rsidR="00E02646" w:rsidRPr="00FC7658" w:rsidRDefault="007F736C" w:rsidP="00561B50">
      <w:pPr>
        <w:pStyle w:val="Heading1"/>
        <w:rPr>
          <w:b/>
          <w:color w:val="auto"/>
        </w:rPr>
      </w:pPr>
      <w:bookmarkStart w:id="2" w:name="_Toc64283566"/>
      <w:bookmarkStart w:id="3" w:name="_Toc64298883"/>
      <w:r w:rsidRPr="00FC7658">
        <w:rPr>
          <w:b/>
          <w:color w:val="auto"/>
        </w:rPr>
        <w:t>CERTIFICATION</w:t>
      </w:r>
      <w:bookmarkEnd w:id="2"/>
      <w:bookmarkEnd w:id="3"/>
    </w:p>
    <w:p w:rsidR="00FC7658" w:rsidRPr="00FC7658" w:rsidRDefault="00E02646" w:rsidP="00FC7658">
      <w:pPr>
        <w:spacing w:after="240" w:line="276" w:lineRule="auto"/>
        <w:jc w:val="both"/>
        <w:rPr>
          <w:rFonts w:asciiTheme="majorHAnsi" w:hAnsiTheme="majorHAnsi" w:cstheme="majorHAnsi"/>
        </w:rPr>
      </w:pPr>
      <w:r w:rsidRPr="00FC7658">
        <w:rPr>
          <w:rFonts w:asciiTheme="majorHAnsi" w:hAnsiTheme="majorHAnsi" w:cstheme="majorHAnsi"/>
        </w:rPr>
        <w:t xml:space="preserve">An electronic copy of Course Certificate will be provided to the participants post completion of the training. Only those participants who participate in all the sessions, take the pre and </w:t>
      </w:r>
      <w:r w:rsidR="007F736C" w:rsidRPr="00FC7658">
        <w:rPr>
          <w:rFonts w:asciiTheme="majorHAnsi" w:hAnsiTheme="majorHAnsi" w:cstheme="majorHAnsi"/>
        </w:rPr>
        <w:t>posttest</w:t>
      </w:r>
      <w:r w:rsidRPr="00FC7658">
        <w:rPr>
          <w:rFonts w:asciiTheme="majorHAnsi" w:hAnsiTheme="majorHAnsi" w:cstheme="majorHAnsi"/>
        </w:rPr>
        <w:t xml:space="preserve"> and submit the feedback form will be provided the course c</w:t>
      </w:r>
      <w:r w:rsidR="00FC7658" w:rsidRPr="00FC7658">
        <w:rPr>
          <w:rFonts w:asciiTheme="majorHAnsi" w:hAnsiTheme="majorHAnsi" w:cstheme="majorHAnsi"/>
        </w:rPr>
        <w:t>ertificates.</w:t>
      </w:r>
      <w:bookmarkStart w:id="4" w:name="_Toc64298884"/>
    </w:p>
    <w:p w:rsidR="00E02646" w:rsidRPr="00FC7658" w:rsidRDefault="007F736C" w:rsidP="00FC7658">
      <w:pPr>
        <w:spacing w:after="240" w:line="276" w:lineRule="auto"/>
        <w:jc w:val="both"/>
        <w:rPr>
          <w:b/>
        </w:rPr>
      </w:pPr>
      <w:r w:rsidRPr="00FC7658">
        <w:rPr>
          <w:b/>
        </w:rPr>
        <w:t>OUTCOME</w:t>
      </w:r>
      <w:bookmarkEnd w:id="4"/>
      <w:r w:rsidRPr="00FC7658">
        <w:rPr>
          <w:b/>
        </w:rPr>
        <w:t xml:space="preserve"> </w:t>
      </w:r>
    </w:p>
    <w:p w:rsidR="007A54C2" w:rsidRPr="00FC7658" w:rsidRDefault="00E02646" w:rsidP="004144DA">
      <w:pPr>
        <w:pStyle w:val="Heading1"/>
        <w:spacing w:after="240" w:line="276" w:lineRule="auto"/>
        <w:jc w:val="both"/>
        <w:rPr>
          <w:rFonts w:eastAsia="Times New Roman" w:cstheme="majorHAnsi"/>
          <w:color w:val="auto"/>
          <w:sz w:val="24"/>
          <w:szCs w:val="24"/>
        </w:rPr>
      </w:pPr>
      <w:bookmarkStart w:id="5" w:name="_Toc75781301"/>
      <w:r w:rsidRPr="00FC7658">
        <w:rPr>
          <w:rFonts w:eastAsia="Times New Roman" w:cstheme="majorHAnsi"/>
          <w:color w:val="auto"/>
          <w:sz w:val="24"/>
          <w:szCs w:val="24"/>
        </w:rPr>
        <w:t>The training would contribute into the enhancement of participant’s capacity to ensure the smooth management of vaccine and cold chain in their country. The participants will be able to identify the priority areas as well as how to mitigate the identified challenges. Further, this training may also contribute for overall system strengthening and full immunization coverage with potent vaccines.</w:t>
      </w:r>
      <w:bookmarkEnd w:id="5"/>
    </w:p>
    <w:sectPr w:rsidR="007A54C2" w:rsidRPr="00FC7658" w:rsidSect="00352191">
      <w:footerReference w:type="default" r:id="rId11"/>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CE" w:rsidRDefault="00382DCE" w:rsidP="00633CBF">
      <w:r>
        <w:separator/>
      </w:r>
    </w:p>
  </w:endnote>
  <w:endnote w:type="continuationSeparator" w:id="0">
    <w:p w:rsidR="00382DCE" w:rsidRDefault="00382DCE" w:rsidP="0063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972000"/>
      <w:docPartObj>
        <w:docPartGallery w:val="Page Numbers (Bottom of Page)"/>
        <w:docPartUnique/>
      </w:docPartObj>
    </w:sdtPr>
    <w:sdtEndPr>
      <w:rPr>
        <w:noProof/>
      </w:rPr>
    </w:sdtEndPr>
    <w:sdtContent>
      <w:p w:rsidR="00633CBF" w:rsidRDefault="00633CBF">
        <w:pPr>
          <w:pStyle w:val="Footer"/>
          <w:jc w:val="right"/>
        </w:pPr>
        <w:r>
          <w:fldChar w:fldCharType="begin"/>
        </w:r>
        <w:r>
          <w:instrText xml:space="preserve"> PAGE   \* MERGEFORMAT </w:instrText>
        </w:r>
        <w:r>
          <w:fldChar w:fldCharType="separate"/>
        </w:r>
        <w:r w:rsidR="00FC7658">
          <w:rPr>
            <w:noProof/>
          </w:rPr>
          <w:t>8</w:t>
        </w:r>
        <w:r>
          <w:rPr>
            <w:noProof/>
          </w:rPr>
          <w:fldChar w:fldCharType="end"/>
        </w:r>
      </w:p>
    </w:sdtContent>
  </w:sdt>
  <w:p w:rsidR="00633CBF" w:rsidRDefault="00633C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CE" w:rsidRDefault="00382DCE" w:rsidP="00633CBF">
      <w:r>
        <w:separator/>
      </w:r>
    </w:p>
  </w:footnote>
  <w:footnote w:type="continuationSeparator" w:id="0">
    <w:p w:rsidR="00382DCE" w:rsidRDefault="00382DCE" w:rsidP="00633C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40E"/>
    <w:multiLevelType w:val="hybridMultilevel"/>
    <w:tmpl w:val="40B4C254"/>
    <w:lvl w:ilvl="0" w:tplc="65A6E5F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21CE3"/>
    <w:multiLevelType w:val="hybridMultilevel"/>
    <w:tmpl w:val="ADAAF8DC"/>
    <w:lvl w:ilvl="0" w:tplc="3D9E2FF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B414D"/>
    <w:multiLevelType w:val="hybridMultilevel"/>
    <w:tmpl w:val="E1F4F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84E151E"/>
    <w:multiLevelType w:val="hybridMultilevel"/>
    <w:tmpl w:val="DD3CEDE2"/>
    <w:lvl w:ilvl="0" w:tplc="E9F0495C">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1A7BFD"/>
    <w:multiLevelType w:val="hybridMultilevel"/>
    <w:tmpl w:val="BF48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B4C2C"/>
    <w:multiLevelType w:val="hybridMultilevel"/>
    <w:tmpl w:val="F27059E4"/>
    <w:lvl w:ilvl="0" w:tplc="32A2CF4A">
      <w:start w:val="1"/>
      <w:numFmt w:val="decimal"/>
      <w:lvlText w:val="%1."/>
      <w:lvlJc w:val="right"/>
      <w:pPr>
        <w:tabs>
          <w:tab w:val="num" w:pos="1515"/>
        </w:tabs>
        <w:ind w:left="15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F92144"/>
    <w:multiLevelType w:val="hybridMultilevel"/>
    <w:tmpl w:val="D528E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765AB8"/>
    <w:multiLevelType w:val="hybridMultilevel"/>
    <w:tmpl w:val="09A8E9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BD573A1"/>
    <w:multiLevelType w:val="hybridMultilevel"/>
    <w:tmpl w:val="4C6C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EE"/>
    <w:rsid w:val="00024AD8"/>
    <w:rsid w:val="000314F4"/>
    <w:rsid w:val="00064D0B"/>
    <w:rsid w:val="00122B56"/>
    <w:rsid w:val="00127820"/>
    <w:rsid w:val="00140CBF"/>
    <w:rsid w:val="00147DEB"/>
    <w:rsid w:val="00151E9B"/>
    <w:rsid w:val="001855DD"/>
    <w:rsid w:val="001D2066"/>
    <w:rsid w:val="001D330F"/>
    <w:rsid w:val="00203FBA"/>
    <w:rsid w:val="00287927"/>
    <w:rsid w:val="002B2F87"/>
    <w:rsid w:val="00352191"/>
    <w:rsid w:val="00382DCE"/>
    <w:rsid w:val="003E20C3"/>
    <w:rsid w:val="003E4C40"/>
    <w:rsid w:val="004144DA"/>
    <w:rsid w:val="00416744"/>
    <w:rsid w:val="00420389"/>
    <w:rsid w:val="004609BD"/>
    <w:rsid w:val="004A1F45"/>
    <w:rsid w:val="004B1577"/>
    <w:rsid w:val="004F4D28"/>
    <w:rsid w:val="00551475"/>
    <w:rsid w:val="0055558E"/>
    <w:rsid w:val="00561B50"/>
    <w:rsid w:val="005F3838"/>
    <w:rsid w:val="00622AFD"/>
    <w:rsid w:val="00633CBF"/>
    <w:rsid w:val="006548A8"/>
    <w:rsid w:val="00675BA5"/>
    <w:rsid w:val="006B1F17"/>
    <w:rsid w:val="006C044E"/>
    <w:rsid w:val="00703852"/>
    <w:rsid w:val="007916B0"/>
    <w:rsid w:val="007A54C2"/>
    <w:rsid w:val="007D5938"/>
    <w:rsid w:val="007F736C"/>
    <w:rsid w:val="008819ED"/>
    <w:rsid w:val="008874B0"/>
    <w:rsid w:val="008B1C5A"/>
    <w:rsid w:val="008B2449"/>
    <w:rsid w:val="00901D27"/>
    <w:rsid w:val="0096766B"/>
    <w:rsid w:val="009A3068"/>
    <w:rsid w:val="00A426C4"/>
    <w:rsid w:val="00A9748D"/>
    <w:rsid w:val="00AC172A"/>
    <w:rsid w:val="00B37146"/>
    <w:rsid w:val="00B858DA"/>
    <w:rsid w:val="00BD034D"/>
    <w:rsid w:val="00BE7D57"/>
    <w:rsid w:val="00C72C57"/>
    <w:rsid w:val="00C92665"/>
    <w:rsid w:val="00D25DEE"/>
    <w:rsid w:val="00D3163A"/>
    <w:rsid w:val="00DB044A"/>
    <w:rsid w:val="00DE19A7"/>
    <w:rsid w:val="00DF4820"/>
    <w:rsid w:val="00E02646"/>
    <w:rsid w:val="00E907A1"/>
    <w:rsid w:val="00E9266F"/>
    <w:rsid w:val="00F330B1"/>
    <w:rsid w:val="00FC3B64"/>
    <w:rsid w:val="00FC7658"/>
    <w:rsid w:val="00FC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1208"/>
  <w15:chartTrackingRefBased/>
  <w15:docId w15:val="{15554783-840C-4A8C-A692-09BDDD86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1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6744"/>
    <w:pPr>
      <w:spacing w:after="120"/>
      <w:ind w:left="360"/>
    </w:pPr>
  </w:style>
  <w:style w:type="character" w:customStyle="1" w:styleId="BodyTextIndentChar">
    <w:name w:val="Body Text Indent Char"/>
    <w:basedOn w:val="DefaultParagraphFont"/>
    <w:link w:val="BodyTextIndent"/>
    <w:rsid w:val="00416744"/>
    <w:rPr>
      <w:rFonts w:ascii="Times New Roman" w:eastAsia="Times New Roman" w:hAnsi="Times New Roman" w:cs="Times New Roman"/>
      <w:sz w:val="24"/>
      <w:szCs w:val="24"/>
    </w:rPr>
  </w:style>
  <w:style w:type="paragraph" w:styleId="ListParagraph">
    <w:name w:val="List Paragraph"/>
    <w:basedOn w:val="Normal"/>
    <w:uiPriority w:val="34"/>
    <w:qFormat/>
    <w:rsid w:val="00416744"/>
    <w:pPr>
      <w:spacing w:after="200" w:line="276" w:lineRule="auto"/>
      <w:ind w:left="720"/>
      <w:contextualSpacing/>
    </w:pPr>
    <w:rPr>
      <w:rFonts w:ascii="Calibri" w:hAnsi="Calibri"/>
      <w:sz w:val="22"/>
      <w:szCs w:val="22"/>
    </w:rPr>
  </w:style>
  <w:style w:type="character" w:customStyle="1" w:styleId="Heading2Char">
    <w:name w:val="Heading 2 Char"/>
    <w:basedOn w:val="DefaultParagraphFont"/>
    <w:link w:val="Heading2"/>
    <w:uiPriority w:val="9"/>
    <w:rsid w:val="00B37146"/>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37146"/>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B37146"/>
    <w:rPr>
      <w:sz w:val="20"/>
      <w:szCs w:val="20"/>
      <w:lang w:val="en-IN"/>
    </w:rPr>
  </w:style>
  <w:style w:type="paragraph" w:customStyle="1" w:styleId="text-justify">
    <w:name w:val="text-justify"/>
    <w:basedOn w:val="Normal"/>
    <w:rsid w:val="004A1F45"/>
    <w:pPr>
      <w:spacing w:before="100" w:beforeAutospacing="1" w:after="100" w:afterAutospacing="1"/>
    </w:pPr>
  </w:style>
  <w:style w:type="character" w:customStyle="1" w:styleId="Heading1Char">
    <w:name w:val="Heading 1 Char"/>
    <w:basedOn w:val="DefaultParagraphFont"/>
    <w:link w:val="Heading1"/>
    <w:uiPriority w:val="9"/>
    <w:rsid w:val="00E0264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736C"/>
    <w:pPr>
      <w:spacing w:line="259" w:lineRule="auto"/>
      <w:outlineLvl w:val="9"/>
    </w:pPr>
  </w:style>
  <w:style w:type="paragraph" w:styleId="TOC1">
    <w:name w:val="toc 1"/>
    <w:basedOn w:val="Normal"/>
    <w:next w:val="Normal"/>
    <w:autoRedefine/>
    <w:uiPriority w:val="39"/>
    <w:unhideWhenUsed/>
    <w:rsid w:val="007F736C"/>
    <w:pPr>
      <w:spacing w:after="100"/>
    </w:pPr>
  </w:style>
  <w:style w:type="character" w:styleId="Hyperlink">
    <w:name w:val="Hyperlink"/>
    <w:basedOn w:val="DefaultParagraphFont"/>
    <w:uiPriority w:val="99"/>
    <w:unhideWhenUsed/>
    <w:rsid w:val="007F736C"/>
    <w:rPr>
      <w:color w:val="0563C1" w:themeColor="hyperlink"/>
      <w:u w:val="single"/>
    </w:rPr>
  </w:style>
  <w:style w:type="paragraph" w:styleId="Header">
    <w:name w:val="header"/>
    <w:basedOn w:val="Normal"/>
    <w:link w:val="HeaderChar"/>
    <w:uiPriority w:val="99"/>
    <w:unhideWhenUsed/>
    <w:rsid w:val="00633CBF"/>
    <w:pPr>
      <w:tabs>
        <w:tab w:val="center" w:pos="4680"/>
        <w:tab w:val="right" w:pos="9360"/>
      </w:tabs>
    </w:pPr>
  </w:style>
  <w:style w:type="character" w:customStyle="1" w:styleId="HeaderChar">
    <w:name w:val="Header Char"/>
    <w:basedOn w:val="DefaultParagraphFont"/>
    <w:link w:val="Header"/>
    <w:uiPriority w:val="99"/>
    <w:rsid w:val="00633C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3CBF"/>
    <w:pPr>
      <w:tabs>
        <w:tab w:val="center" w:pos="4680"/>
        <w:tab w:val="right" w:pos="9360"/>
      </w:tabs>
    </w:pPr>
  </w:style>
  <w:style w:type="character" w:customStyle="1" w:styleId="FooterChar">
    <w:name w:val="Footer Char"/>
    <w:basedOn w:val="DefaultParagraphFont"/>
    <w:link w:val="Footer"/>
    <w:uiPriority w:val="99"/>
    <w:rsid w:val="00633CBF"/>
    <w:rPr>
      <w:rFonts w:ascii="Times New Roman" w:eastAsia="Times New Roman" w:hAnsi="Times New Roman" w:cs="Times New Roman"/>
      <w:sz w:val="24"/>
      <w:szCs w:val="24"/>
    </w:rPr>
  </w:style>
  <w:style w:type="paragraph" w:styleId="NoSpacing">
    <w:name w:val="No Spacing"/>
    <w:uiPriority w:val="1"/>
    <w:qFormat/>
    <w:rsid w:val="004203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B27C-1DB7-40BB-9890-2CC37097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Kant Ray</dc:creator>
  <cp:keywords/>
  <dc:description/>
  <cp:lastModifiedBy>PC3</cp:lastModifiedBy>
  <cp:revision>15</cp:revision>
  <dcterms:created xsi:type="dcterms:W3CDTF">2021-06-28T10:46:00Z</dcterms:created>
  <dcterms:modified xsi:type="dcterms:W3CDTF">2021-08-24T09:52:00Z</dcterms:modified>
</cp:coreProperties>
</file>